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BlockText"/>
      </w:pPr>
      <w:r>
        <w:t xml:space="preserve">Disclaimer: this privacy statement refers to websites in the following context:</w:t>
      </w:r>
    </w:p>
    <w:p>
      <w:pPr>
        <w:numPr>
          <w:ilvl w:val="0"/>
          <w:numId w:val="1001"/>
        </w:numPr>
        <w:pStyle w:val="Compact"/>
      </w:pPr>
      <w:r>
        <w:t xml:space="preserve">Your website does not typically require visitors to enter personal data in order to user its services.</w:t>
      </w:r>
    </w:p>
    <w:p>
      <w:pPr>
        <w:numPr>
          <w:ilvl w:val="0"/>
          <w:numId w:val="1001"/>
        </w:numPr>
        <w:pStyle w:val="Compact"/>
      </w:pPr>
      <w:r>
        <w:t xml:space="preserve">No particular</w:t>
      </w:r>
      <w:r>
        <w:t xml:space="preserve"> </w:t>
      </w:r>
      <w:r>
        <w:t xml:space="preserve">“</w:t>
      </w:r>
      <w:r>
        <w:t xml:space="preserve">legitimate interests</w:t>
      </w:r>
      <w:r>
        <w:t xml:space="preserve">”</w:t>
      </w:r>
      <w:r>
        <w:t xml:space="preserve"> </w:t>
      </w:r>
      <w:r>
        <w:t xml:space="preserve">(section 10)</w:t>
      </w:r>
    </w:p>
    <w:p>
      <w:pPr>
        <w:numPr>
          <w:ilvl w:val="0"/>
          <w:numId w:val="1001"/>
        </w:numPr>
        <w:pStyle w:val="Compact"/>
      </w:pPr>
      <w:r>
        <w:t xml:space="preserve">No automated decision-making (section 14)</w:t>
      </w:r>
    </w:p>
    <w:p>
      <w:pPr>
        <w:numPr>
          <w:ilvl w:val="0"/>
          <w:numId w:val="1001"/>
        </w:numPr>
        <w:pStyle w:val="Compact"/>
      </w:pPr>
      <w:r>
        <w:t xml:space="preserve">Particular website features: newsletter incl. tracking (if, for example, your website uses Google</w:t>
      </w:r>
      <w:r>
        <w:t xml:space="preserve"> </w:t>
      </w:r>
      <w:r>
        <w:t xml:space="preserve">Analytics, you should consider a separate sub-section for this)</w:t>
      </w:r>
    </w:p>
    <w:p>
      <w:pPr>
        <w:pStyle w:val="BlockText"/>
      </w:pPr>
      <w:r>
        <w:t xml:space="preserve">It’s painful - but you will have to go through the entire text and adjust it to your own company website</w:t>
      </w:r>
      <w:r>
        <w:t xml:space="preserve"> </w:t>
      </w:r>
      <w:r>
        <w:t xml:space="preserve">where necessary. We hope this template still hopes you with a general structure.</w:t>
      </w:r>
    </w:p>
    <w:bookmarkStart w:id="38" w:name="X47c5ed6088cf402b2d1e9453fb757d2f0ce4c00"/>
    <w:p>
      <w:pPr>
        <w:pStyle w:val="Heading1"/>
      </w:pPr>
      <w:r>
        <w:t xml:space="preserve">Website Data Protection Statement for Data Subjects Pursuant to Articles 13 and 14 of the EU General Data Protection Regulation</w:t>
      </w:r>
    </w:p>
    <w:p>
      <w:pPr>
        <w:pStyle w:val="FirstParagraph"/>
      </w:pPr>
      <w:r>
        <w:t xml:space="preserve">Data protection is a particularly high priority for the management of &lt;enter company name&gt;. The use of the</w:t>
      </w:r>
      <w:r>
        <w:t xml:space="preserve"> </w:t>
      </w:r>
      <w:r>
        <w:t xml:space="preserve">website of &lt;enter company name&gt; is possible without any indication of personal data; however, if a data</w:t>
      </w:r>
      <w:r>
        <w:t xml:space="preserve"> </w:t>
      </w:r>
      <w:r>
        <w:t xml:space="preserve">subject wants to use special enterprise services via our website, processing of personal data could become</w:t>
      </w:r>
      <w:r>
        <w:t xml:space="preserve"> </w:t>
      </w:r>
      <w:r>
        <w:t xml:space="preserve">necessary. If the processing of personal data is necessary and there is no statutory basis for such</w:t>
      </w:r>
      <w:r>
        <w:t xml:space="preserve"> </w:t>
      </w:r>
      <w:r>
        <w:t xml:space="preserve">processing, we generally obtain consent from the data subject.</w:t>
      </w:r>
    </w:p>
    <w:p>
      <w:pPr>
        <w:pStyle w:val="BodyText"/>
      </w:pPr>
      <w:r>
        <w:t xml:space="preserve">The processing of personal data, such as the name, address, e-mail address, or telephone number of a data</w:t>
      </w:r>
      <w:r>
        <w:t xml:space="preserve"> </w:t>
      </w:r>
      <w:r>
        <w:t xml:space="preserve">subject shall always be in line with the General Data Protection Regulation (GDPR), and in accordance with the</w:t>
      </w:r>
      <w:r>
        <w:t xml:space="preserve"> </w:t>
      </w:r>
      <w:r>
        <w:t xml:space="preserve">country-specific data protection regulations applicable to &lt;enter company name&gt;. By means of this data</w:t>
      </w:r>
      <w:r>
        <w:t xml:space="preserve"> </w:t>
      </w:r>
      <w:r>
        <w:t xml:space="preserve">protection declaration, our company would like to inform the general public of the nature, scope, and purpose</w:t>
      </w:r>
      <w:r>
        <w:t xml:space="preserve"> </w:t>
      </w:r>
      <w:r>
        <w:t xml:space="preserve">of the personal data we collect, use and process. Furthermore, data subjects are informed, by means of this</w:t>
      </w:r>
      <w:r>
        <w:t xml:space="preserve"> </w:t>
      </w:r>
      <w:r>
        <w:t xml:space="preserve">data protection declaration, of the rights to which they are entitled.</w:t>
      </w:r>
    </w:p>
    <w:p>
      <w:pPr>
        <w:pStyle w:val="BodyText"/>
      </w:pPr>
      <w:r>
        <w:t xml:space="preserve">As the controller, &lt;enter company name&gt; has implemented technical and organizational measures to ensure the</w:t>
      </w:r>
      <w:r>
        <w:t xml:space="preserve"> </w:t>
      </w:r>
      <w:r>
        <w:t xml:space="preserve">most complete protection of personal data processed through this website. However, internet-based data</w:t>
      </w:r>
      <w:r>
        <w:t xml:space="preserve"> </w:t>
      </w:r>
      <w:r>
        <w:t xml:space="preserve">transmissions may in principle have security gaps, so absolute protection may not be guaranteed. For this</w:t>
      </w:r>
      <w:r>
        <w:t xml:space="preserve"> </w:t>
      </w:r>
      <w:r>
        <w:t xml:space="preserve">reason, every data subject is free to transfer personal data via alternative means, e.g. by telephone.</w:t>
      </w:r>
    </w:p>
    <w:bookmarkStart w:id="20" w:name="definitions"/>
    <w:p>
      <w:pPr>
        <w:pStyle w:val="Heading2"/>
      </w:pPr>
      <w:r>
        <w:t xml:space="preserve">1. Definitions</w:t>
      </w:r>
    </w:p>
    <w:p>
      <w:pPr>
        <w:pStyle w:val="FirstParagraph"/>
      </w:pPr>
      <w:r>
        <w:t xml:space="preserve">The data protection declaration of &lt;enter company name&gt; is based on the terms used by the European</w:t>
      </w:r>
      <w:r>
        <w:t xml:space="preserve"> </w:t>
      </w:r>
      <w:r>
        <w:t xml:space="preserve">legislator for the adoption of the General Data Protection Regulation (GDPR). Our data protection declaration</w:t>
      </w:r>
      <w:r>
        <w:t xml:space="preserve"> </w:t>
      </w:r>
      <w:r>
        <w:t xml:space="preserve">should be legible and understandable for the general public, as well as our customers and business</w:t>
      </w:r>
      <w:r>
        <w:t xml:space="preserve"> </w:t>
      </w:r>
      <w:r>
        <w:t xml:space="preserve">partners. To ensure this, we would like to first explain the terminology used.</w:t>
      </w:r>
    </w:p>
    <w:p>
      <w:pPr>
        <w:pStyle w:val="BodyText"/>
      </w:pPr>
      <w:r>
        <w:t xml:space="preserve">In this data protection declaration, we use, inter alia, the following terms: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a) Personal data</w:t>
      </w:r>
      <w:r>
        <w:t xml:space="preserve"> </w:t>
      </w:r>
      <w:r>
        <w:t xml:space="preserve">Personal data means any information relating to an identified or identifiable natural</w:t>
      </w:r>
      <w:r>
        <w:t xml:space="preserve"> </w:t>
      </w:r>
      <w:r>
        <w:t xml:space="preserve">person (</w:t>
      </w:r>
      <w:r>
        <w:t xml:space="preserve">“</w:t>
      </w:r>
      <w:r>
        <w:t xml:space="preserve">data subject</w:t>
      </w:r>
      <w:r>
        <w:t xml:space="preserve">”</w:t>
      </w:r>
      <w:r>
        <w:t xml:space="preserve">). An identifiable natural person is one who can be identified, directly or</w:t>
      </w:r>
      <w:r>
        <w:t xml:space="preserve"> </w:t>
      </w:r>
      <w:r>
        <w:t xml:space="preserve">indirectly, in particular by reference to an identifier such as a name, an identification number, location</w:t>
      </w:r>
      <w:r>
        <w:t xml:space="preserve"> </w:t>
      </w:r>
      <w:r>
        <w:t xml:space="preserve">data, an online identifier or to one or more factors specific to the physical, physiological, genetic,</w:t>
      </w:r>
      <w:r>
        <w:t xml:space="preserve"> </w:t>
      </w:r>
      <w:r>
        <w:t xml:space="preserve">mental, economic, cultural or social identity of that natural person.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b) Data subject</w:t>
      </w:r>
      <w:r>
        <w:t xml:space="preserve"> </w:t>
      </w:r>
      <w:r>
        <w:t xml:space="preserve">Data subject is any identified or identifiable natural person, whose personal data is</w:t>
      </w:r>
      <w:r>
        <w:t xml:space="preserve"> </w:t>
      </w:r>
      <w:r>
        <w:t xml:space="preserve">processed by the controller responsible for the processing.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c) Processing</w:t>
      </w:r>
      <w:r>
        <w:t xml:space="preserve"> </w:t>
      </w:r>
      <w:r>
        <w:t xml:space="preserve">Processing is any operation or set of operations which is performed on personal data or on</w:t>
      </w:r>
      <w:r>
        <w:t xml:space="preserve"> </w:t>
      </w:r>
      <w:r>
        <w:t xml:space="preserve">sets of personal data, whether or not by automated means, such as collection, recording, organisation,</w:t>
      </w:r>
      <w:r>
        <w:t xml:space="preserve"> </w:t>
      </w:r>
      <w:r>
        <w:t xml:space="preserve">structuring, storage, adaptation or alteration, retrieval, consultation, use, disclosure by transmission,</w:t>
      </w:r>
      <w:r>
        <w:t xml:space="preserve"> </w:t>
      </w:r>
      <w:r>
        <w:t xml:space="preserve">dissemination or otherwise making available, alignment or combination, restriction, erasure or destruction.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d) Restriction of processing</w:t>
      </w:r>
      <w:r>
        <w:t xml:space="preserve"> </w:t>
      </w:r>
      <w:r>
        <w:t xml:space="preserve">Restriction of processing is the marking of stored personal data with the</w:t>
      </w:r>
      <w:r>
        <w:t xml:space="preserve"> </w:t>
      </w:r>
      <w:r>
        <w:t xml:space="preserve">aim of limiting their processing in the future.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Profiling Profiling means any form of automated processing of personal data consisting of the use of</w:t>
      </w:r>
      <w:r>
        <w:t xml:space="preserve"> </w:t>
      </w:r>
      <w:r>
        <w:t xml:space="preserve">personal data to evaluate certain personal aspects relating to a natural person, in particular to analyse or</w:t>
      </w:r>
      <w:r>
        <w:t xml:space="preserve"> </w:t>
      </w:r>
      <w:r>
        <w:t xml:space="preserve">predict aspects concerning that natural person’s performance at work, economic situation, health, personal</w:t>
      </w:r>
      <w:r>
        <w:t xml:space="preserve"> </w:t>
      </w:r>
      <w:r>
        <w:t xml:space="preserve">preferences, interests, reliability, behavior, location or movements.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f) Pseudonymization</w:t>
      </w:r>
      <w:r>
        <w:t xml:space="preserve"> </w:t>
      </w:r>
      <w:r>
        <w:t xml:space="preserve">Pseudonymization is the processing of personal data in such a manner that the</w:t>
      </w:r>
      <w:r>
        <w:t xml:space="preserve"> </w:t>
      </w:r>
      <w:r>
        <w:t xml:space="preserve">personal data can no longer be attributed to a specific data subject without the use of additional</w:t>
      </w:r>
      <w:r>
        <w:t xml:space="preserve"> </w:t>
      </w:r>
      <w:r>
        <w:t xml:space="preserve">information, provided that such additional information is kept separately and is subject to technical and</w:t>
      </w:r>
      <w:r>
        <w:t xml:space="preserve"> </w:t>
      </w:r>
      <w:r>
        <w:t xml:space="preserve">organizational measures to ensure that the personal data are not attributed to an identified or identifiable</w:t>
      </w:r>
      <w:r>
        <w:t xml:space="preserve"> </w:t>
      </w:r>
      <w:r>
        <w:t xml:space="preserve">natural person.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g) Controller or controller responsible for the processing</w:t>
      </w:r>
      <w:r>
        <w:t xml:space="preserve"> </w:t>
      </w:r>
      <w:r>
        <w:t xml:space="preserve">Controller or controller responsible for the</w:t>
      </w:r>
      <w:r>
        <w:t xml:space="preserve"> </w:t>
      </w:r>
      <w:r>
        <w:t xml:space="preserve">processing is the natural or legal person, public authority, agency or other body which, alone or jointly</w:t>
      </w:r>
      <w:r>
        <w:t xml:space="preserve"> </w:t>
      </w:r>
      <w:r>
        <w:t xml:space="preserve">with others, determines the purposes and means of the processing of personal data; where the purposes and</w:t>
      </w:r>
      <w:r>
        <w:t xml:space="preserve"> </w:t>
      </w:r>
      <w:r>
        <w:t xml:space="preserve">means of such processing are determined by Union or Member State law, the controller or the specific</w:t>
      </w:r>
      <w:r>
        <w:t xml:space="preserve"> </w:t>
      </w:r>
      <w:r>
        <w:t xml:space="preserve">criteria for its nomination may be provided for by Union or Member State law.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h) Processor</w:t>
      </w:r>
      <w:r>
        <w:t xml:space="preserve"> </w:t>
      </w:r>
      <w:r>
        <w:t xml:space="preserve">Processor is a natural or legal person, public authority, agency or other body which</w:t>
      </w:r>
      <w:r>
        <w:t xml:space="preserve"> </w:t>
      </w:r>
      <w:r>
        <w:t xml:space="preserve">processes personal data on behalf of the controller.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i) Recipient</w:t>
      </w:r>
      <w:r>
        <w:t xml:space="preserve"> </w:t>
      </w:r>
      <w:r>
        <w:t xml:space="preserve">Recipient is a natural or legal person, public authority, agency or another body, to which</w:t>
      </w:r>
      <w:r>
        <w:t xml:space="preserve"> </w:t>
      </w:r>
      <w:r>
        <w:t xml:space="preserve">the personal data are disclosed, whether a third party or not. However, public authorities which may receive</w:t>
      </w:r>
      <w:r>
        <w:t xml:space="preserve"> </w:t>
      </w:r>
      <w:r>
        <w:t xml:space="preserve">personal data in the framework of a particular inquiry in accordance with Union or Member State law shall</w:t>
      </w:r>
      <w:r>
        <w:t xml:space="preserve"> </w:t>
      </w:r>
      <w:r>
        <w:t xml:space="preserve">not be regarded as recipients; the processing of those data by those public authorities shall be in</w:t>
      </w:r>
      <w:r>
        <w:t xml:space="preserve"> </w:t>
      </w:r>
      <w:r>
        <w:t xml:space="preserve">compliance with the applicable data protection rules according to the purposes of the processing.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j) Third party</w:t>
      </w:r>
      <w:r>
        <w:t xml:space="preserve"> </w:t>
      </w:r>
      <w:r>
        <w:t xml:space="preserve">Third party is a natural or legal person, public authority, agency or body other than the</w:t>
      </w:r>
      <w:r>
        <w:t xml:space="preserve"> </w:t>
      </w:r>
      <w:r>
        <w:t xml:space="preserve">data subject, controller, processor and persons who, under the direct authority of the controller or</w:t>
      </w:r>
      <w:r>
        <w:t xml:space="preserve"> </w:t>
      </w:r>
      <w:r>
        <w:t xml:space="preserve">processor, are authorized to process personal data.</w:t>
      </w:r>
    </w:p>
    <w:p>
      <w:pPr>
        <w:numPr>
          <w:ilvl w:val="0"/>
          <w:numId w:val="1002"/>
        </w:numPr>
        <w:pStyle w:val="Compact"/>
      </w:pPr>
      <w:r>
        <w:rPr>
          <w:bCs/>
          <w:b/>
        </w:rPr>
        <w:t xml:space="preserve">k) Consent</w:t>
      </w:r>
      <w:r>
        <w:t xml:space="preserve"> </w:t>
      </w:r>
      <w:r>
        <w:t xml:space="preserve">Consent of the data subject is any freely given, specific, informed and unambiguous</w:t>
      </w:r>
      <w:r>
        <w:t xml:space="preserve"> </w:t>
      </w:r>
      <w:r>
        <w:t xml:space="preserve">indication of the wishes by which he or she, by a statement or by a clear affirmative action, signifies</w:t>
      </w:r>
      <w:r>
        <w:t xml:space="preserve"> </w:t>
      </w:r>
      <w:r>
        <w:t xml:space="preserve">agreement to the processing of personal data relating to him or her.</w:t>
      </w:r>
    </w:p>
    <w:bookmarkEnd w:id="20"/>
    <w:bookmarkStart w:id="21" w:name="name-and-address-of-the-controller"/>
    <w:p>
      <w:pPr>
        <w:pStyle w:val="Heading2"/>
      </w:pPr>
      <w:r>
        <w:t xml:space="preserve">2. Name and Address of the controller</w:t>
      </w:r>
    </w:p>
    <w:p>
      <w:pPr>
        <w:pStyle w:val="FirstParagraph"/>
      </w:pPr>
      <w:r>
        <w:t xml:space="preserve">Controller for the purposes of the General Data Protection Regulation (GDPR), other data protection laws</w:t>
      </w:r>
      <w:r>
        <w:t xml:space="preserve"> </w:t>
      </w:r>
      <w:r>
        <w:t xml:space="preserve">applicable in Member states of the European Union and other provisions related to data protection is:</w:t>
      </w:r>
    </w:p>
    <w:p>
      <w:pPr>
        <w:pStyle w:val="BodyText"/>
      </w:pPr>
      <w:r>
        <w:t xml:space="preserve">&lt;enter company name, address and contact details&gt;</w:t>
      </w:r>
    </w:p>
    <w:bookmarkEnd w:id="21"/>
    <w:bookmarkStart w:id="22" w:name="Xdfbf9e1b25f5cda53e10aad583d7005d1b4a5a4"/>
    <w:p>
      <w:pPr>
        <w:pStyle w:val="Heading2"/>
      </w:pPr>
      <w:r>
        <w:t xml:space="preserve">3. Collection of general data and information</w:t>
      </w:r>
    </w:p>
    <w:p>
      <w:pPr>
        <w:pStyle w:val="FirstParagraph"/>
      </w:pPr>
      <w:r>
        <w:t xml:space="preserve">The website of &lt;enter company name&gt; collects a series of general data and information when a data subject or</w:t>
      </w:r>
      <w:r>
        <w:t xml:space="preserve"> </w:t>
      </w:r>
      <w:r>
        <w:t xml:space="preserve">automated system calls up the website. This general data and information are stored in the server log</w:t>
      </w:r>
      <w:r>
        <w:t xml:space="preserve"> </w:t>
      </w:r>
      <w:r>
        <w:t xml:space="preserve">files. Collected may be (1) the browser types and versions used, (2) the operating system used by the</w:t>
      </w:r>
      <w:r>
        <w:t xml:space="preserve"> </w:t>
      </w:r>
      <w:r>
        <w:t xml:space="preserve">accessing system, (3) the website from which an accessing system reaches our website (so-called referrers),</w:t>
      </w:r>
      <w:r>
        <w:t xml:space="preserve"> </w:t>
      </w:r>
      <w:r>
        <w:t xml:space="preserve">(4) the sub-websites, (5) the date and time of access to the Internet site, (6) an Internet protocol address</w:t>
      </w:r>
      <w:r>
        <w:t xml:space="preserve"> </w:t>
      </w:r>
      <w:r>
        <w:t xml:space="preserve">(IP address), (7) the Internet service provider of the accessing system, and (8) any other similar data and</w:t>
      </w:r>
      <w:r>
        <w:t xml:space="preserve"> </w:t>
      </w:r>
      <w:r>
        <w:t xml:space="preserve">information that may be used in the event of attacks on our information technology systems.</w:t>
      </w:r>
    </w:p>
    <w:p>
      <w:pPr>
        <w:pStyle w:val="BodyText"/>
      </w:pPr>
      <w:r>
        <w:t xml:space="preserve">When using this general data and information, &lt;enter company name&gt; does not draw any conclusions about the</w:t>
      </w:r>
      <w:r>
        <w:t xml:space="preserve"> </w:t>
      </w:r>
      <w:r>
        <w:t xml:space="preserve">data subject. Rather, this information is needed to (1) deliver the content of our website correctly, (2)</w:t>
      </w:r>
      <w:r>
        <w:t xml:space="preserve"> </w:t>
      </w:r>
      <w:r>
        <w:t xml:space="preserve">optimize the content of our website as well as its advertisement, (3) ensure the long-term viability of our</w:t>
      </w:r>
      <w:r>
        <w:t xml:space="preserve"> </w:t>
      </w:r>
      <w:r>
        <w:t xml:space="preserve">information technology systems and website technology, and (4) provide law enforcement authorities with the</w:t>
      </w:r>
      <w:r>
        <w:t xml:space="preserve"> </w:t>
      </w:r>
      <w:r>
        <w:t xml:space="preserve">information necessary for criminal prosecution in case of a cyber-attack. Therefore, &lt;enter company name&gt;</w:t>
      </w:r>
      <w:r>
        <w:t xml:space="preserve"> </w:t>
      </w:r>
      <w:r>
        <w:t xml:space="preserve">analyzes anonymously collected data and information statistically, with the aim of increasing the data</w:t>
      </w:r>
      <w:r>
        <w:t xml:space="preserve"> </w:t>
      </w:r>
      <w:r>
        <w:t xml:space="preserve">protection and data security of our company, and to ensure an optimal level of protection for the personal</w:t>
      </w:r>
      <w:r>
        <w:t xml:space="preserve"> </w:t>
      </w:r>
      <w:r>
        <w:t xml:space="preserve">data we process. The anonymous data of the server log files are stored separately from all personal data</w:t>
      </w:r>
      <w:r>
        <w:t xml:space="preserve"> </w:t>
      </w:r>
      <w:r>
        <w:t xml:space="preserve">provided by a data subject.</w:t>
      </w:r>
    </w:p>
    <w:bookmarkEnd w:id="22"/>
    <w:bookmarkStart w:id="23" w:name="subscription-to-our-newsletters"/>
    <w:p>
      <w:pPr>
        <w:pStyle w:val="Heading2"/>
      </w:pPr>
      <w:r>
        <w:t xml:space="preserve">4. Subscription to our newsletters</w:t>
      </w:r>
    </w:p>
    <w:p>
      <w:pPr>
        <w:pStyle w:val="FirstParagraph"/>
      </w:pPr>
      <w:r>
        <w:t xml:space="preserve">On the website, users are given the opportunity to subscribe to our enterprise’s newsletter. The input mask</w:t>
      </w:r>
      <w:r>
        <w:t xml:space="preserve"> </w:t>
      </w:r>
      <w:r>
        <w:t xml:space="preserve">used for this purpose determines what personal data are transmitted, as well as when the newsletter is ordered</w:t>
      </w:r>
      <w:r>
        <w:t xml:space="preserve"> </w:t>
      </w:r>
      <w:r>
        <w:t xml:space="preserve">from the controller.</w:t>
      </w:r>
    </w:p>
    <w:p>
      <w:pPr>
        <w:pStyle w:val="BodyText"/>
      </w:pPr>
      <w:r>
        <w:t xml:space="preserve">&lt;enter company name&gt; informs its customers and business partners regularly by the means of a newsletter</w:t>
      </w:r>
      <w:r>
        <w:t xml:space="preserve"> </w:t>
      </w:r>
      <w:r>
        <w:t xml:space="preserve">about company offers. The enterprise’s newsletter may only be received by the data subject if (1) the data</w:t>
      </w:r>
      <w:r>
        <w:t xml:space="preserve"> </w:t>
      </w:r>
      <w:r>
        <w:t xml:space="preserve">subject has a valid e-mail address and (2) the data subject registers for the newsletter shipping. A</w:t>
      </w:r>
      <w:r>
        <w:t xml:space="preserve"> </w:t>
      </w:r>
      <w:r>
        <w:t xml:space="preserve">confirmation e-mail will be sent to the e-mail address registered by a data subject for the first time for</w:t>
      </w:r>
      <w:r>
        <w:t xml:space="preserve"> </w:t>
      </w:r>
      <w:r>
        <w:t xml:space="preserve">newsletter shipping, for legal reasons, in the double opt-in procedure. This confirmation e-mail is used to</w:t>
      </w:r>
      <w:r>
        <w:t xml:space="preserve"> </w:t>
      </w:r>
      <w:r>
        <w:t xml:space="preserve">prove whether the owner of the e-mail address as the data subject is authorized to receive the newsletter.</w:t>
      </w:r>
    </w:p>
    <w:p>
      <w:pPr>
        <w:pStyle w:val="BodyText"/>
      </w:pPr>
      <w:r>
        <w:t xml:space="preserve">During the registration for the newsletter, we also store the IP address of the computer system assigned by</w:t>
      </w:r>
      <w:r>
        <w:t xml:space="preserve"> </w:t>
      </w:r>
      <w:r>
        <w:t xml:space="preserve">the Internet service provider (ISP) and used by the data subject at the time of the registration, as well as</w:t>
      </w:r>
      <w:r>
        <w:t xml:space="preserve"> </w:t>
      </w:r>
      <w:r>
        <w:t xml:space="preserve">the date and time of the registration. The collection of this data is necessary in order to understand the</w:t>
      </w:r>
      <w:r>
        <w:t xml:space="preserve"> </w:t>
      </w:r>
      <w:r>
        <w:t xml:space="preserve">(possible) misuse of the e-mail address of a data subject at a later date, and it therefore serves the aim of</w:t>
      </w:r>
      <w:r>
        <w:t xml:space="preserve"> </w:t>
      </w:r>
      <w:r>
        <w:t xml:space="preserve">the legal protection of the controller.</w:t>
      </w:r>
    </w:p>
    <w:p>
      <w:pPr>
        <w:pStyle w:val="BodyText"/>
      </w:pPr>
      <w:r>
        <w:t xml:space="preserve">The personal data collected as part of a registration for the newsletter will only be used to send our</w:t>
      </w:r>
      <w:r>
        <w:t xml:space="preserve"> </w:t>
      </w:r>
      <w:r>
        <w:t xml:space="preserve">newsletter. In addition, subscribers to the newsletter may be informed by e-mail, as long as this is necessary</w:t>
      </w:r>
      <w:r>
        <w:t xml:space="preserve"> </w:t>
      </w:r>
      <w:r>
        <w:t xml:space="preserve">for the operation of the newsletter service or a registration in question, as this could be the case in the</w:t>
      </w:r>
      <w:r>
        <w:t xml:space="preserve"> </w:t>
      </w:r>
      <w:r>
        <w:t xml:space="preserve">event of modifications to the newsletter offer, or in the event of a change in technical circumstances. There</w:t>
      </w:r>
      <w:r>
        <w:t xml:space="preserve"> </w:t>
      </w:r>
      <w:r>
        <w:t xml:space="preserve">will be no transfer of personal data collected by the newsletter service to third parties. The subscription to</w:t>
      </w:r>
      <w:r>
        <w:t xml:space="preserve"> </w:t>
      </w:r>
      <w:r>
        <w:t xml:space="preserve">our newsletter may be terminated by the data subject at any time. The consent to the storage of personal data,</w:t>
      </w:r>
      <w:r>
        <w:t xml:space="preserve"> </w:t>
      </w:r>
      <w:r>
        <w:t xml:space="preserve">which the data subject has given for shipping the newsletter, may be revoked at any time. For the purpose of</w:t>
      </w:r>
      <w:r>
        <w:t xml:space="preserve"> </w:t>
      </w:r>
      <w:r>
        <w:t xml:space="preserve">revocation of consent, a corresponding link is found in each newsletter. It is also possible to unsubscribe</w:t>
      </w:r>
      <w:r>
        <w:t xml:space="preserve"> </w:t>
      </w:r>
      <w:r>
        <w:t xml:space="preserve">from the newsletter at any time directly on the website of the controller, or to communicate this to the</w:t>
      </w:r>
      <w:r>
        <w:t xml:space="preserve"> </w:t>
      </w:r>
      <w:r>
        <w:t xml:space="preserve">controller in a different way.</w:t>
      </w:r>
    </w:p>
    <w:bookmarkEnd w:id="23"/>
    <w:bookmarkStart w:id="24" w:name="newsletter-tracking"/>
    <w:p>
      <w:pPr>
        <w:pStyle w:val="Heading2"/>
      </w:pPr>
      <w:r>
        <w:t xml:space="preserve">5. Newsletter-Tracking</w:t>
      </w:r>
    </w:p>
    <w:p>
      <w:pPr>
        <w:pStyle w:val="FirstParagraph"/>
      </w:pPr>
      <w:r>
        <w:t xml:space="preserve">Our newsletter contains so-called tracking pixels. A tracking pixel is a miniature graphic embedded in such</w:t>
      </w:r>
      <w:r>
        <w:t xml:space="preserve"> </w:t>
      </w:r>
      <w:r>
        <w:t xml:space="preserve">e-mails, which are sent in HTML format to enable log file recording and analysis. This allows a statistical</w:t>
      </w:r>
      <w:r>
        <w:t xml:space="preserve"> </w:t>
      </w:r>
      <w:r>
        <w:t xml:space="preserve">analysis of the success or failure of online marketing campaigns. Based on the embedded tracking pixel,</w:t>
      </w:r>
      <w:r>
        <w:t xml:space="preserve"> </w:t>
      </w:r>
      <w:r>
        <w:t xml:space="preserve">&lt;enter company name&gt; may see if and when an e-mail was opened by a data subject, and which links in the</w:t>
      </w:r>
      <w:r>
        <w:t xml:space="preserve"> </w:t>
      </w:r>
      <w:r>
        <w:t xml:space="preserve">e-mail were called up by data subjects.</w:t>
      </w:r>
    </w:p>
    <w:p>
      <w:pPr>
        <w:pStyle w:val="BodyText"/>
      </w:pPr>
      <w:r>
        <w:t xml:space="preserve">Such personal data collected in the tracking pixels contained in the newsletters are stored and analyzed by</w:t>
      </w:r>
      <w:r>
        <w:t xml:space="preserve"> </w:t>
      </w:r>
      <w:r>
        <w:t xml:space="preserve">the controller in order to optimize the shipping of the newsletter, as well as to adapt the content of future</w:t>
      </w:r>
      <w:r>
        <w:t xml:space="preserve"> </w:t>
      </w:r>
      <w:r>
        <w:t xml:space="preserve">newsletters even better to the interests of the data subject. These personal data will not be passed on to</w:t>
      </w:r>
      <w:r>
        <w:t xml:space="preserve"> </w:t>
      </w:r>
      <w:r>
        <w:t xml:space="preserve">third parties. Data subjects are at any time entitled to revoke the respective separate declaration of consent</w:t>
      </w:r>
      <w:r>
        <w:t xml:space="preserve"> </w:t>
      </w:r>
      <w:r>
        <w:t xml:space="preserve">issued by means of the double-opt-in procedure. After a revocation, these personal data will be deleted by the</w:t>
      </w:r>
      <w:r>
        <w:t xml:space="preserve"> </w:t>
      </w:r>
      <w:r>
        <w:t xml:space="preserve">controller. &lt;enter company name&gt; automatically regards a withdrawal from the receipt of the newsletter as a</w:t>
      </w:r>
      <w:r>
        <w:t xml:space="preserve"> </w:t>
      </w:r>
      <w:r>
        <w:t xml:space="preserve">revocation.</w:t>
      </w:r>
    </w:p>
    <w:bookmarkEnd w:id="24"/>
    <w:bookmarkStart w:id="25" w:name="X6b9ce620ed796043ae48cc3f4713acc91132922"/>
    <w:p>
      <w:pPr>
        <w:pStyle w:val="Heading2"/>
      </w:pPr>
      <w:r>
        <w:t xml:space="preserve">6. Routine erasure and blocking of personal data</w:t>
      </w:r>
    </w:p>
    <w:p>
      <w:pPr>
        <w:pStyle w:val="FirstParagraph"/>
      </w:pPr>
      <w:r>
        <w:t xml:space="preserve">The data controller shall process and store the personal data of the data subject only for the period</w:t>
      </w:r>
      <w:r>
        <w:t xml:space="preserve"> </w:t>
      </w:r>
      <w:r>
        <w:t xml:space="preserve">necessary to achieve the purpose of storage, or as far as this is granted by the European legislator or other</w:t>
      </w:r>
      <w:r>
        <w:t xml:space="preserve"> </w:t>
      </w:r>
      <w:r>
        <w:t xml:space="preserve">legislators in laws or regulations to which the controller is subject to. If the storage purpose is no longer</w:t>
      </w:r>
      <w:r>
        <w:t xml:space="preserve"> </w:t>
      </w:r>
      <w:r>
        <w:t xml:space="preserve">applicable, or if a storage period prescribed by the European legislator or another competent legislator</w:t>
      </w:r>
      <w:r>
        <w:t xml:space="preserve"> </w:t>
      </w:r>
      <w:r>
        <w:t xml:space="preserve">expires, the personal data are routinely blocked or erased in accordance with legal requirements.</w:t>
      </w:r>
    </w:p>
    <w:bookmarkEnd w:id="25"/>
    <w:bookmarkStart w:id="27" w:name="rights-of-the-data-subject"/>
    <w:p>
      <w:pPr>
        <w:pStyle w:val="Heading2"/>
      </w:pPr>
      <w:r>
        <w:t xml:space="preserve">7. Rights of the data subject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a) Right of confirmation (Art. 15 GDPR)</w:t>
      </w:r>
      <w:r>
        <w:t xml:space="preserve"> </w:t>
      </w:r>
      <w:r>
        <w:t xml:space="preserve">Each data subject shall have the right granted by the European</w:t>
      </w:r>
      <w:r>
        <w:t xml:space="preserve"> </w:t>
      </w:r>
      <w:r>
        <w:t xml:space="preserve">legislator to obtain from the controller the confirmation as to whether or not personal data concerning him</w:t>
      </w:r>
      <w:r>
        <w:t xml:space="preserve"> </w:t>
      </w:r>
      <w:r>
        <w:t xml:space="preserve">or her are being processed. If a data subject wishes to avail himself of this right of confirmation, he or</w:t>
      </w:r>
      <w:r>
        <w:t xml:space="preserve"> </w:t>
      </w:r>
      <w:r>
        <w:t xml:space="preserve">she may, at any time, contact any employee of the controller.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b) Right of access (Art. 15 GDPR)</w:t>
      </w:r>
      <w:r>
        <w:t xml:space="preserve"> </w:t>
      </w:r>
      <w:r>
        <w:t xml:space="preserve">Each data subject shall have the right granted by the European</w:t>
      </w:r>
      <w:r>
        <w:t xml:space="preserve"> </w:t>
      </w:r>
      <w:r>
        <w:t xml:space="preserve">legislator to obtain from the controller free information about his or her personal data stored at any time</w:t>
      </w:r>
      <w:r>
        <w:t xml:space="preserve"> </w:t>
      </w:r>
      <w:r>
        <w:t xml:space="preserve">and a copy of this information. Furthermore, the European directives and regulations grant the data subject</w:t>
      </w:r>
      <w:r>
        <w:t xml:space="preserve"> </w:t>
      </w:r>
      <w:r>
        <w:t xml:space="preserve">access to the following information:</w:t>
      </w:r>
    </w:p>
    <w:p>
      <w:pPr>
        <w:numPr>
          <w:ilvl w:val="1"/>
          <w:numId w:val="1005"/>
        </w:numPr>
        <w:pStyle w:val="Compact"/>
      </w:pPr>
      <w:r>
        <w:t xml:space="preserve">the purposes of the processing;</w:t>
      </w:r>
    </w:p>
    <w:p>
      <w:pPr>
        <w:numPr>
          <w:ilvl w:val="1"/>
          <w:numId w:val="1005"/>
        </w:numPr>
        <w:pStyle w:val="Compact"/>
      </w:pPr>
      <w:r>
        <w:t xml:space="preserve">the categories of personal data concerned;</w:t>
      </w:r>
    </w:p>
    <w:p>
      <w:pPr>
        <w:numPr>
          <w:ilvl w:val="1"/>
          <w:numId w:val="1005"/>
        </w:numPr>
        <w:pStyle w:val="Compact"/>
      </w:pPr>
      <w:r>
        <w:t xml:space="preserve">the recipients or categories of recipients to whom the personal data have been or will be disclosed, in</w:t>
      </w:r>
      <w:r>
        <w:t xml:space="preserve"> </w:t>
      </w:r>
      <w:r>
        <w:t xml:space="preserve">particular recipients in third countries or international organisations;</w:t>
      </w:r>
    </w:p>
    <w:p>
      <w:pPr>
        <w:numPr>
          <w:ilvl w:val="1"/>
          <w:numId w:val="1005"/>
        </w:numPr>
        <w:pStyle w:val="Compact"/>
      </w:pPr>
      <w:r>
        <w:t xml:space="preserve">where possible, the envisaged period for which the personal data will be stored, or, if not possible, the</w:t>
      </w:r>
      <w:r>
        <w:t xml:space="preserve"> </w:t>
      </w:r>
      <w:r>
        <w:t xml:space="preserve">criteria used to determine that period;</w:t>
      </w:r>
    </w:p>
    <w:p>
      <w:pPr>
        <w:numPr>
          <w:ilvl w:val="1"/>
          <w:numId w:val="1005"/>
        </w:numPr>
        <w:pStyle w:val="Compact"/>
      </w:pPr>
      <w:r>
        <w:t xml:space="preserve">the existence of the right to request from the controller rectification or erasure of personal data, or</w:t>
      </w:r>
      <w:r>
        <w:t xml:space="preserve"> </w:t>
      </w:r>
      <w:r>
        <w:t xml:space="preserve">restriction of processing of personal data concerning the data subject, or to object to such processing;</w:t>
      </w:r>
    </w:p>
    <w:p>
      <w:pPr>
        <w:numPr>
          <w:ilvl w:val="1"/>
          <w:numId w:val="1005"/>
        </w:numPr>
        <w:pStyle w:val="Compact"/>
      </w:pPr>
      <w:r>
        <w:t xml:space="preserve">the existence of the right to lodge a complaint with a supervisory authority;</w:t>
      </w:r>
    </w:p>
    <w:p>
      <w:pPr>
        <w:numPr>
          <w:ilvl w:val="1"/>
          <w:numId w:val="1005"/>
        </w:numPr>
        <w:pStyle w:val="Compact"/>
      </w:pPr>
      <w:r>
        <w:t xml:space="preserve">where the personal data are not collected from the data subject, any available information as to their</w:t>
      </w:r>
      <w:r>
        <w:t xml:space="preserve"> </w:t>
      </w:r>
      <w:r>
        <w:t xml:space="preserve">source;</w:t>
      </w:r>
    </w:p>
    <w:p>
      <w:pPr>
        <w:numPr>
          <w:ilvl w:val="1"/>
          <w:numId w:val="1005"/>
        </w:numPr>
        <w:pStyle w:val="Compact"/>
      </w:pPr>
      <w:r>
        <w:t xml:space="preserve">the existence of automated decision-making, including profiling, referred to in Article 22(1) and (4) of</w:t>
      </w:r>
      <w:r>
        <w:t xml:space="preserve"> </w:t>
      </w:r>
      <w:r>
        <w:t xml:space="preserve">the GDPR and, at least in those cases, meaningful information about the logic involved, as well as the</w:t>
      </w:r>
      <w:r>
        <w:t xml:space="preserve"> </w:t>
      </w:r>
      <w:r>
        <w:t xml:space="preserve">significance and envisaged consequences of such processing for the data subject.</w:t>
      </w:r>
    </w:p>
    <w:p>
      <w:pPr>
        <w:numPr>
          <w:ilvl w:val="0"/>
          <w:numId w:val="1004"/>
        </w:numPr>
        <w:pStyle w:val="Compact"/>
      </w:pPr>
      <w:r>
        <w:t xml:space="preserve">Furthermore, the data subject shall have a right to obtain information as to whether personal data are</w:t>
      </w:r>
      <w:r>
        <w:t xml:space="preserve"> </w:t>
      </w:r>
      <w:r>
        <w:t xml:space="preserve">transferred to a third country or to an international organisation. Where this is the case, the data subject</w:t>
      </w:r>
      <w:r>
        <w:t xml:space="preserve"> </w:t>
      </w:r>
      <w:r>
        <w:t xml:space="preserve">shall have the right to be informed of the appropriate safeguards relating to the transfer. If a data</w:t>
      </w:r>
      <w:r>
        <w:t xml:space="preserve"> </w:t>
      </w:r>
      <w:r>
        <w:t xml:space="preserve">subject wishes to avail himself of this right of access, he or she may, at any time, contact any employee of</w:t>
      </w:r>
      <w:r>
        <w:t xml:space="preserve"> </w:t>
      </w:r>
      <w:r>
        <w:t xml:space="preserve">the controller.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c) Right to rectification (Art. 16 GDPR)</w:t>
      </w:r>
      <w:r>
        <w:t xml:space="preserve"> </w:t>
      </w:r>
      <w:r>
        <w:t xml:space="preserve">Each data subject shall have the right granted by the European</w:t>
      </w:r>
      <w:r>
        <w:t xml:space="preserve"> </w:t>
      </w:r>
      <w:r>
        <w:t xml:space="preserve">legislator to obtain from the controller without undue delay the rectification of inaccurate personal data</w:t>
      </w:r>
      <w:r>
        <w:t xml:space="preserve"> </w:t>
      </w:r>
      <w:r>
        <w:t xml:space="preserve">concerning him or her. Taking into account the purposes of the processing, the data subject shall have the</w:t>
      </w:r>
      <w:r>
        <w:t xml:space="preserve"> </w:t>
      </w:r>
      <w:r>
        <w:t xml:space="preserve">right to have incomplete personal data completed, including by means of providing a supplementary</w:t>
      </w:r>
      <w:r>
        <w:t xml:space="preserve"> </w:t>
      </w:r>
      <w:r>
        <w:t xml:space="preserve">statement. If a data subject wishes to exercise this right to rectification, he or she may, at any time,</w:t>
      </w:r>
      <w:r>
        <w:t xml:space="preserve"> </w:t>
      </w:r>
      <w:r>
        <w:t xml:space="preserve">contact any employee of the controller.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d) Right to erasure (Right to be forgotten, Art. 17 GDPR)</w:t>
      </w:r>
      <w:r>
        <w:t xml:space="preserve"> </w:t>
      </w:r>
      <w:r>
        <w:t xml:space="preserve">Each data subject shall have the right granted</w:t>
      </w:r>
      <w:r>
        <w:t xml:space="preserve"> </w:t>
      </w:r>
      <w:r>
        <w:t xml:space="preserve">by the European legislator to obtain from the controller the erasure of personal data concerning him or her</w:t>
      </w:r>
      <w:r>
        <w:t xml:space="preserve"> </w:t>
      </w:r>
      <w:r>
        <w:t xml:space="preserve">without undue delay, and the controller shall have the obligation to erase personal data without undue delay</w:t>
      </w:r>
      <w:r>
        <w:t xml:space="preserve"> </w:t>
      </w:r>
      <w:r>
        <w:t xml:space="preserve">where one of the following grounds applies, as long as the processing is not necessary:</w:t>
      </w:r>
    </w:p>
    <w:p>
      <w:pPr>
        <w:numPr>
          <w:ilvl w:val="1"/>
          <w:numId w:val="1006"/>
        </w:numPr>
        <w:pStyle w:val="Compact"/>
      </w:pPr>
      <w:r>
        <w:t xml:space="preserve">The personal data are no longer necessary in relation to the purposes for which they were collected or</w:t>
      </w:r>
      <w:r>
        <w:t xml:space="preserve"> </w:t>
      </w:r>
      <w:r>
        <w:t xml:space="preserve">otherwise processed.</w:t>
      </w:r>
    </w:p>
    <w:p>
      <w:pPr>
        <w:numPr>
          <w:ilvl w:val="1"/>
          <w:numId w:val="1006"/>
        </w:numPr>
        <w:pStyle w:val="Compact"/>
      </w:pPr>
      <w:r>
        <w:t xml:space="preserve">The data subject withdraws consent to which the processing is based according to point (a) of Article</w:t>
      </w:r>
      <w:r>
        <w:t xml:space="preserve"> </w:t>
      </w:r>
      <w:r>
        <w:t xml:space="preserve">6(1) of the GDPR, or point (a) of Article 9(2) of the GDPR, and where there is no other legal ground for</w:t>
      </w:r>
      <w:r>
        <w:t xml:space="preserve"> </w:t>
      </w:r>
      <w:r>
        <w:t xml:space="preserve">the processing.</w:t>
      </w:r>
    </w:p>
    <w:p>
      <w:pPr>
        <w:numPr>
          <w:ilvl w:val="1"/>
          <w:numId w:val="1006"/>
        </w:numPr>
        <w:pStyle w:val="Compact"/>
      </w:pPr>
      <w:r>
        <w:t xml:space="preserve">The data subject objects to the processing pursuant to Article 21(1) of the GDPR and there are no</w:t>
      </w:r>
      <w:r>
        <w:t xml:space="preserve"> </w:t>
      </w:r>
      <w:r>
        <w:t xml:space="preserve">overriding legitimate grounds for the processing, or the data subject objects to the processing pursuant</w:t>
      </w:r>
      <w:r>
        <w:t xml:space="preserve"> </w:t>
      </w:r>
      <w:r>
        <w:t xml:space="preserve">to Article 21(2) of the GDPR.</w:t>
      </w:r>
    </w:p>
    <w:p>
      <w:pPr>
        <w:numPr>
          <w:ilvl w:val="1"/>
          <w:numId w:val="1006"/>
        </w:numPr>
        <w:pStyle w:val="Compact"/>
      </w:pPr>
      <w:r>
        <w:t xml:space="preserve">The personal data have been unlawfully processed.</w:t>
      </w:r>
    </w:p>
    <w:p>
      <w:pPr>
        <w:numPr>
          <w:ilvl w:val="1"/>
          <w:numId w:val="1006"/>
        </w:numPr>
        <w:pStyle w:val="Compact"/>
      </w:pPr>
      <w:r>
        <w:t xml:space="preserve">The personal data must be erased for compliance with a legal obligation in Union or Member State law to</w:t>
      </w:r>
      <w:r>
        <w:t xml:space="preserve"> </w:t>
      </w:r>
      <w:r>
        <w:t xml:space="preserve">which the controller is subject.</w:t>
      </w:r>
    </w:p>
    <w:p>
      <w:pPr>
        <w:numPr>
          <w:ilvl w:val="1"/>
          <w:numId w:val="1006"/>
        </w:numPr>
        <w:pStyle w:val="Compact"/>
      </w:pPr>
      <w:r>
        <w:t xml:space="preserve">The personal data have been collected in relation to the offer of information society services referred</w:t>
      </w:r>
      <w:r>
        <w:t xml:space="preserve"> </w:t>
      </w:r>
      <w:r>
        <w:t xml:space="preserve">to in Article 8(1) of the GDPR.</w:t>
      </w:r>
    </w:p>
    <w:p>
      <w:pPr>
        <w:numPr>
          <w:ilvl w:val="0"/>
          <w:numId w:val="1004"/>
        </w:numPr>
        <w:pStyle w:val="Compact"/>
      </w:pPr>
      <w:r>
        <w:t xml:space="preserve">If one of the aforementioned reasons applies, and a data subject wishes to request the erasure of personal</w:t>
      </w:r>
      <w:r>
        <w:t xml:space="preserve"> </w:t>
      </w:r>
      <w:r>
        <w:t xml:space="preserve">data stored by &lt;enter company name&gt;, he or she may, at any time, contact any employee of the</w:t>
      </w:r>
      <w:r>
        <w:t xml:space="preserve"> </w:t>
      </w:r>
      <w:r>
        <w:t xml:space="preserve">controller. An employee of &lt;enter company name&gt; shall promptly ensure that the erasure request is complied</w:t>
      </w:r>
      <w:r>
        <w:t xml:space="preserve"> </w:t>
      </w:r>
      <w:r>
        <w:t xml:space="preserve">with immediately. Where the controller has made personal data public and is obliged pursuant to Article</w:t>
      </w:r>
      <w:r>
        <w:t xml:space="preserve"> </w:t>
      </w:r>
      <w:r>
        <w:t xml:space="preserve">17(1) to erase the personal data, the controller, taking account of available technology and the cost of</w:t>
      </w:r>
      <w:r>
        <w:t xml:space="preserve"> </w:t>
      </w:r>
      <w:r>
        <w:t xml:space="preserve">implementation, shall take reasonable steps, including technical measures, to inform other controllers</w:t>
      </w:r>
      <w:r>
        <w:t xml:space="preserve"> </w:t>
      </w:r>
      <w:r>
        <w:t xml:space="preserve">processing the personal data that the data subject has requested erasure by such controllers of any links</w:t>
      </w:r>
      <w:r>
        <w:t xml:space="preserve"> </w:t>
      </w:r>
      <w:r>
        <w:t xml:space="preserve">to, or copy or replication of, those personal data, as far as processing is not required. An employees of</w:t>
      </w:r>
      <w:r>
        <w:t xml:space="preserve"> </w:t>
      </w:r>
      <w:r>
        <w:t xml:space="preserve">&lt;enter company name&gt; will arrange the necessary measures in individual cases.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e) Right of restriction of processing (Art. 18 GDPR)</w:t>
      </w:r>
      <w:r>
        <w:t xml:space="preserve"> </w:t>
      </w:r>
      <w:r>
        <w:t xml:space="preserve">Each data subject shall have the right granted by</w:t>
      </w:r>
      <w:r>
        <w:t xml:space="preserve"> </w:t>
      </w:r>
      <w:r>
        <w:t xml:space="preserve">the European legislator to obtain from the controller restriction of processing where one of the following</w:t>
      </w:r>
      <w:r>
        <w:t xml:space="preserve"> </w:t>
      </w:r>
      <w:r>
        <w:t xml:space="preserve">applies:</w:t>
      </w:r>
    </w:p>
    <w:p>
      <w:pPr>
        <w:numPr>
          <w:ilvl w:val="1"/>
          <w:numId w:val="1007"/>
        </w:numPr>
        <w:pStyle w:val="Compact"/>
      </w:pPr>
      <w:r>
        <w:t xml:space="preserve">The accuracy of the personal data is contested by the data subject, for a period enabling the controller</w:t>
      </w:r>
      <w:r>
        <w:t xml:space="preserve"> </w:t>
      </w:r>
      <w:r>
        <w:t xml:space="preserve">to verify the accuracy of the personal data.</w:t>
      </w:r>
    </w:p>
    <w:p>
      <w:pPr>
        <w:numPr>
          <w:ilvl w:val="1"/>
          <w:numId w:val="1007"/>
        </w:numPr>
        <w:pStyle w:val="Compact"/>
      </w:pPr>
      <w:r>
        <w:t xml:space="preserve">The processing is unlawful and the data subject opposes the erasure of the personal data and requests</w:t>
      </w:r>
      <w:r>
        <w:t xml:space="preserve"> </w:t>
      </w:r>
      <w:r>
        <w:t xml:space="preserve">instead the restriction of their use instead.</w:t>
      </w:r>
    </w:p>
    <w:p>
      <w:pPr>
        <w:numPr>
          <w:ilvl w:val="1"/>
          <w:numId w:val="1007"/>
        </w:numPr>
        <w:pStyle w:val="Compact"/>
      </w:pPr>
      <w:r>
        <w:t xml:space="preserve">The controller no longer needs the personal data for the purposes of the processing, but they are required</w:t>
      </w:r>
      <w:r>
        <w:t xml:space="preserve"> </w:t>
      </w:r>
      <w:r>
        <w:t xml:space="preserve">by the data subject for the establishment, exercise or defence of legal claims.</w:t>
      </w:r>
    </w:p>
    <w:p>
      <w:pPr>
        <w:numPr>
          <w:ilvl w:val="1"/>
          <w:numId w:val="1007"/>
        </w:numPr>
        <w:pStyle w:val="Compact"/>
      </w:pPr>
      <w:r>
        <w:t xml:space="preserve">The data subject has objected to processing pursuant to Article 21(1) of the GDPR pending the verification</w:t>
      </w:r>
      <w:r>
        <w:t xml:space="preserve"> </w:t>
      </w:r>
      <w:r>
        <w:t xml:space="preserve">whether the legitimate grounds of the controller override those of the data subject.</w:t>
      </w:r>
    </w:p>
    <w:p>
      <w:pPr>
        <w:numPr>
          <w:ilvl w:val="0"/>
          <w:numId w:val="1004"/>
        </w:numPr>
        <w:pStyle w:val="Compact"/>
      </w:pPr>
      <w:r>
        <w:t xml:space="preserve">If one of the aforementioned conditions is met, and a data subject wishes to request the restriction of the</w:t>
      </w:r>
      <w:r>
        <w:t xml:space="preserve"> </w:t>
      </w:r>
      <w:r>
        <w:t xml:space="preserve">processing of personal data stored by us, he or she may at any time contact any employee of the</w:t>
      </w:r>
      <w:r>
        <w:t xml:space="preserve"> </w:t>
      </w:r>
      <w:r>
        <w:t xml:space="preserve">controller. The employee of &lt;enter company name&gt; will arrange the restriction of the processing.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f) Right to data portability (Art. 20 GDPR)</w:t>
      </w:r>
      <w:r>
        <w:t xml:space="preserve"> </w:t>
      </w:r>
      <w:r>
        <w:t xml:space="preserve">Each data subject shall have the right granted by the</w:t>
      </w:r>
      <w:r>
        <w:t xml:space="preserve"> </w:t>
      </w:r>
      <w:r>
        <w:t xml:space="preserve">European legislator, to receive the personal data concerning him or her, which was provided to a controller,</w:t>
      </w:r>
      <w:r>
        <w:t xml:space="preserve"> </w:t>
      </w:r>
      <w:r>
        <w:t xml:space="preserve">in a structured, commonly used and machine-readable format. He or she shall have the right to transmit those</w:t>
      </w:r>
      <w:r>
        <w:t xml:space="preserve"> </w:t>
      </w:r>
      <w:r>
        <w:t xml:space="preserve">data to another controller without hindrance from the controller to which the personal data have been</w:t>
      </w:r>
      <w:r>
        <w:t xml:space="preserve"> </w:t>
      </w:r>
      <w:r>
        <w:t xml:space="preserve">provided, as long as the processing is based on consent pursuant to point (a) of Article 6(1) of the GDPR or</w:t>
      </w:r>
      <w:r>
        <w:t xml:space="preserve"> </w:t>
      </w:r>
      <w:r>
        <w:t xml:space="preserve">point (a) of Article 9(2) of the GDPR, or on a contract pursuant to point (b) of Article 6(1) of the GDPR,</w:t>
      </w:r>
      <w:r>
        <w:t xml:space="preserve"> </w:t>
      </w:r>
      <w:r>
        <w:t xml:space="preserve">and the processing is carried out by automated means, as long as the processing is not necessary for the</w:t>
      </w:r>
      <w:r>
        <w:t xml:space="preserve"> </w:t>
      </w:r>
      <w:r>
        <w:t xml:space="preserve">performance of a task carried out in the public interest or in the exercise of official authority vested in</w:t>
      </w:r>
      <w:r>
        <w:t xml:space="preserve"> </w:t>
      </w:r>
      <w:r>
        <w:t xml:space="preserve">the controller. Furthermore, in exercising his or her right to data portability pursuant to Article 20(1) of</w:t>
      </w:r>
      <w:r>
        <w:t xml:space="preserve"> </w:t>
      </w:r>
      <w:r>
        <w:t xml:space="preserve">the GDPR, the data subject shall have the right to have personal data transmitted directly from one</w:t>
      </w:r>
      <w:r>
        <w:t xml:space="preserve"> </w:t>
      </w:r>
      <w:r>
        <w:t xml:space="preserve">controller to another, where technically feasible and when doing so does not adversely affect the rights and</w:t>
      </w:r>
      <w:r>
        <w:t xml:space="preserve"> </w:t>
      </w:r>
      <w:r>
        <w:t xml:space="preserve">freedoms of others. In order to assert the right to data portability, the data subject may at any time</w:t>
      </w:r>
      <w:r>
        <w:t xml:space="preserve"> </w:t>
      </w:r>
      <w:r>
        <w:t xml:space="preserve">contact any employee of &lt;enter company name&gt;.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g) Right to object (Art. 21 GDPR)</w:t>
      </w:r>
      <w:r>
        <w:t xml:space="preserve"> </w:t>
      </w:r>
      <w:r>
        <w:t xml:space="preserve">Each data subject shall have the right granted by the European</w:t>
      </w:r>
      <w:r>
        <w:t xml:space="preserve"> </w:t>
      </w:r>
      <w:r>
        <w:t xml:space="preserve">legislator to object, on grounds relating to his or her particular situation, at any time, to processing of</w:t>
      </w:r>
      <w:r>
        <w:t xml:space="preserve"> </w:t>
      </w:r>
      <w:r>
        <w:t xml:space="preserve">personal data concerning him or her, which is based on point (e) or (f) of Article 6(1) of the GDPR. This</w:t>
      </w:r>
      <w:r>
        <w:t xml:space="preserve"> </w:t>
      </w:r>
      <w:r>
        <w:t xml:space="preserve">also applies to profiling based on these provisions. &lt;enter company name&gt; shall no longer process the</w:t>
      </w:r>
      <w:r>
        <w:t xml:space="preserve"> </w:t>
      </w:r>
      <w:r>
        <w:t xml:space="preserve">personal data in the event of the objection, unless we can demonstrate compelling legitimate grounds for the</w:t>
      </w:r>
      <w:r>
        <w:t xml:space="preserve"> </w:t>
      </w:r>
      <w:r>
        <w:t xml:space="preserve">processing which override the interests, rights and freedoms of the data subject, or for the establishment,</w:t>
      </w:r>
      <w:r>
        <w:t xml:space="preserve"> </w:t>
      </w:r>
      <w:r>
        <w:t xml:space="preserve">exercise or defence of legal claims. If we processes personal data for direct marketing purposes, the data</w:t>
      </w:r>
      <w:r>
        <w:t xml:space="preserve"> </w:t>
      </w:r>
      <w:r>
        <w:t xml:space="preserve">subject shall have the right to object at any time to processing of personal data concerning him or her for</w:t>
      </w:r>
      <w:r>
        <w:t xml:space="preserve"> </w:t>
      </w:r>
      <w:r>
        <w:t xml:space="preserve">such marketing. This applies to profiling to the extent that it is related to such direct marketing. If the</w:t>
      </w:r>
      <w:r>
        <w:t xml:space="preserve"> </w:t>
      </w:r>
      <w:r>
        <w:t xml:space="preserve">data subject objects to the processing for direct marketing purposes, we will no longer process the personal</w:t>
      </w:r>
      <w:r>
        <w:t xml:space="preserve"> </w:t>
      </w:r>
      <w:r>
        <w:t xml:space="preserve">data for these purposes. In addition, the data subject has the right, on grounds relating to his or her</w:t>
      </w:r>
      <w:r>
        <w:t xml:space="preserve"> </w:t>
      </w:r>
      <w:r>
        <w:t xml:space="preserve">particular situation, to object to processing of personal data concerning him or her for scientific or</w:t>
      </w:r>
      <w:r>
        <w:t xml:space="preserve"> </w:t>
      </w:r>
      <w:r>
        <w:t xml:space="preserve">historical research purposes, or for statistical purposes pursuant to Article 89(1) of the GDPR, unless the</w:t>
      </w:r>
      <w:r>
        <w:t xml:space="preserve"> </w:t>
      </w:r>
      <w:r>
        <w:t xml:space="preserve">processing is necessary for the performance of a task carried out for reasons of public interest. In order</w:t>
      </w:r>
      <w:r>
        <w:t xml:space="preserve"> </w:t>
      </w:r>
      <w:r>
        <w:t xml:space="preserve">to exercise the right to object, the data subject may contact any employee of &lt;enter company name&gt;. In</w:t>
      </w:r>
      <w:r>
        <w:t xml:space="preserve"> </w:t>
      </w:r>
      <w:r>
        <w:t xml:space="preserve">addition, the data subject is free in the context of the use of information society services, and</w:t>
      </w:r>
      <w:r>
        <w:t xml:space="preserve"> </w:t>
      </w:r>
      <w:r>
        <w:t xml:space="preserve">notwithstanding Directive 2002/58/EC, to use his or her right to object by automated means using technical</w:t>
      </w:r>
      <w:r>
        <w:t xml:space="preserve"> </w:t>
      </w:r>
      <w:r>
        <w:t xml:space="preserve">specifications.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h) Automated individual decision-making, including profiling</w:t>
      </w:r>
      <w:r>
        <w:t xml:space="preserve"> </w:t>
      </w:r>
      <w:r>
        <w:t xml:space="preserve">Each data subject shall have the right</w:t>
      </w:r>
      <w:r>
        <w:t xml:space="preserve"> </w:t>
      </w:r>
      <w:r>
        <w:t xml:space="preserve">granted by the European legislator not to be subject to a decision based solely on automated processing,</w:t>
      </w:r>
      <w:r>
        <w:t xml:space="preserve"> </w:t>
      </w:r>
      <w:r>
        <w:t xml:space="preserve">including profiling, which produces legal effects concerning him or her, or similarly significantly affects</w:t>
      </w:r>
      <w:r>
        <w:t xml:space="preserve"> </w:t>
      </w:r>
      <w:r>
        <w:t xml:space="preserve">him or her, as long as the decision (1) is not is necessary for entering into, or the performance of, a</w:t>
      </w:r>
      <w:r>
        <w:t xml:space="preserve"> </w:t>
      </w:r>
      <w:r>
        <w:t xml:space="preserve">contract between the data subject and a data controller, or (2) is not authorised by Union or Member State</w:t>
      </w:r>
      <w:r>
        <w:t xml:space="preserve"> </w:t>
      </w:r>
      <w:r>
        <w:t xml:space="preserve">law to which the controller is subject and which also lays down suitable measures to safeguard the data</w:t>
      </w:r>
      <w:r>
        <w:t xml:space="preserve"> </w:t>
      </w:r>
      <w:r>
        <w:t xml:space="preserve">subject’s rights and freedoms and legitimate interests, or (3) is not based on the data subject’s explicit</w:t>
      </w:r>
      <w:r>
        <w:t xml:space="preserve"> </w:t>
      </w:r>
      <w:r>
        <w:t xml:space="preserve">consent. If the decision (1) is necessary for entering into, or the performance of, a contract between the</w:t>
      </w:r>
      <w:r>
        <w:t xml:space="preserve"> </w:t>
      </w:r>
      <w:r>
        <w:t xml:space="preserve">data subject and a data controller, or (2) it is based on the data subject’s explicit consent, &lt;enter</w:t>
      </w:r>
      <w:r>
        <w:t xml:space="preserve"> </w:t>
      </w:r>
      <w:r>
        <w:t xml:space="preserve">company name&gt; shall implement suitable measures to safeguard the data subject’s rights and freedoms and</w:t>
      </w:r>
      <w:r>
        <w:t xml:space="preserve"> </w:t>
      </w:r>
      <w:r>
        <w:t xml:space="preserve">legitimate interests, at least the right to obtain human intervention on the part of the controller, to</w:t>
      </w:r>
      <w:r>
        <w:t xml:space="preserve"> </w:t>
      </w:r>
      <w:r>
        <w:t xml:space="preserve">express his or her point of view and contest the decision. If the data subject wishes to exercise the rights</w:t>
      </w:r>
      <w:r>
        <w:t xml:space="preserve"> </w:t>
      </w:r>
      <w:r>
        <w:t xml:space="preserve">concerning automated individual decision-making, he or she may, at any time, contact any employee of &lt;enter</w:t>
      </w:r>
      <w:r>
        <w:t xml:space="preserve"> </w:t>
      </w:r>
      <w:r>
        <w:t xml:space="preserve">company name&gt;.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i) Right to withdraw data protection consent</w:t>
      </w:r>
      <w:r>
        <w:t xml:space="preserve"> </w:t>
      </w:r>
      <w:r>
        <w:t xml:space="preserve">Each data subject shall have the right granted by the</w:t>
      </w:r>
      <w:r>
        <w:t xml:space="preserve"> </w:t>
      </w:r>
      <w:r>
        <w:t xml:space="preserve">European legislator to withdraw his or her consent to processing of his or her personal data at any time. If</w:t>
      </w:r>
      <w:r>
        <w:t xml:space="preserve"> </w:t>
      </w:r>
      <w:r>
        <w:t xml:space="preserve">the data subject wishes to exercise the right to withdraw the consent, he or she may, at any time, contact</w:t>
      </w:r>
      <w:r>
        <w:t xml:space="preserve"> </w:t>
      </w:r>
      <w:r>
        <w:t xml:space="preserve">any employee of &lt;enter company name&gt;.</w:t>
      </w:r>
    </w:p>
    <w:p>
      <w:pPr>
        <w:pStyle w:val="FirstParagraph"/>
      </w:pPr>
      <w:r>
        <w:t xml:space="preserve">You can also contact a supervisory authority with a complaint at any time, e.g. the supervisory authority of</w:t>
      </w:r>
      <w:r>
        <w:t xml:space="preserve"> </w:t>
      </w:r>
      <w:r>
        <w:t xml:space="preserve">the state of your residence or the authority that oversees &lt;enter company name&gt;.</w:t>
      </w:r>
    </w:p>
    <w:p>
      <w:pPr>
        <w:pStyle w:val="BodyText"/>
      </w:pPr>
      <w:r>
        <w:t xml:space="preserve">You can find a list of supervisory authorities (for the non-public area) at</w:t>
      </w:r>
      <w:r>
        <w:t xml:space="preserve"> </w:t>
      </w:r>
      <w:hyperlink r:id="rId26">
        <w:r>
          <w:rPr>
            <w:rStyle w:val="Hyperlink"/>
          </w:rPr>
          <w:t xml:space="preserve">this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link</w:t>
        </w:r>
      </w:hyperlink>
      <w:r>
        <w:t xml:space="preserve">.</w:t>
      </w:r>
    </w:p>
    <w:bookmarkEnd w:id="27"/>
    <w:bookmarkStart w:id="28" w:name="Xc22057b734e460b32fdc446d5e3290ca9218487"/>
    <w:p>
      <w:pPr>
        <w:pStyle w:val="Heading2"/>
      </w:pPr>
      <w:r>
        <w:t xml:space="preserve">8. Data protection for applications and the application procedures</w:t>
      </w:r>
    </w:p>
    <w:p>
      <w:pPr>
        <w:pStyle w:val="FirstParagraph"/>
      </w:pPr>
      <w:r>
        <w:t xml:space="preserve">The data controller shall collect and process the personal data of applicants for the purpose of the</w:t>
      </w:r>
      <w:r>
        <w:t xml:space="preserve"> </w:t>
      </w:r>
      <w:r>
        <w:t xml:space="preserve">processing of the application procedure. The processing may also be carried out electronically. This is the</w:t>
      </w:r>
      <w:r>
        <w:t xml:space="preserve"> </w:t>
      </w:r>
      <w:r>
        <w:t xml:space="preserve">case, in particular, if an applicant submits corresponding application documents by e-mail or by means of a</w:t>
      </w:r>
      <w:r>
        <w:t xml:space="preserve"> </w:t>
      </w:r>
      <w:r>
        <w:t xml:space="preserve">web form on the website to the controller. If the data controller concludes an employment contract with an</w:t>
      </w:r>
      <w:r>
        <w:t xml:space="preserve"> </w:t>
      </w:r>
      <w:r>
        <w:t xml:space="preserve">applicant, the submitted data will be stored for the purpose of processing the employment relationship in</w:t>
      </w:r>
      <w:r>
        <w:t xml:space="preserve"> </w:t>
      </w:r>
      <w:r>
        <w:t xml:space="preserve">compliance with legal requirements. If no employment contract is concluded with the applicant by the</w:t>
      </w:r>
      <w:r>
        <w:t xml:space="preserve"> </w:t>
      </w:r>
      <w:r>
        <w:t xml:space="preserve">controller, the</w:t>
      </w:r>
      <w:r>
        <w:t xml:space="preserve"> </w:t>
      </w:r>
      <w:r>
        <w:rPr>
          <w:iCs/>
          <w:i/>
        </w:rPr>
        <w:t xml:space="preserve">application documents shall be automatically erased six months after notification of the</w:t>
      </w:r>
      <w:r>
        <w:rPr>
          <w:iCs/>
          <w:i/>
        </w:rPr>
        <w:t xml:space="preserve"> </w:t>
      </w:r>
      <w:r>
        <w:rPr>
          <w:iCs/>
          <w:i/>
        </w:rPr>
        <w:t xml:space="preserve">refusal decision</w:t>
      </w:r>
      <w:r>
        <w:t xml:space="preserve">, provided that no other legitimate interests of the controller are opposed to the</w:t>
      </w:r>
      <w:r>
        <w:t xml:space="preserve"> </w:t>
      </w:r>
      <w:r>
        <w:t xml:space="preserve">erasure. Other legitimate interest in this relation is, e.g. a burden of proof in a procedure under the</w:t>
      </w:r>
      <w:r>
        <w:t xml:space="preserve"> </w:t>
      </w:r>
      <w:r>
        <w:t xml:space="preserve">General Equal Treatment Act (AGG).</w:t>
      </w:r>
    </w:p>
    <w:bookmarkEnd w:id="28"/>
    <w:bookmarkStart w:id="29" w:name="legal-basis-for-the-processing"/>
    <w:p>
      <w:pPr>
        <w:pStyle w:val="Heading2"/>
      </w:pPr>
      <w:r>
        <w:t xml:space="preserve">9. Legal basis for the processing</w:t>
      </w:r>
    </w:p>
    <w:p>
      <w:pPr>
        <w:pStyle w:val="FirstParagraph"/>
      </w:pPr>
      <w:r>
        <w:t xml:space="preserve">Art. 6(1) lit. a GDPR serves as the legal basis for processing operations for which we obtain consent for a</w:t>
      </w:r>
      <w:r>
        <w:t xml:space="preserve"> </w:t>
      </w:r>
      <w:r>
        <w:t xml:space="preserve">specific processing purpose. If the processing of personal data is necessary for the performance of a contract</w:t>
      </w:r>
      <w:r>
        <w:t xml:space="preserve"> </w:t>
      </w:r>
      <w:r>
        <w:t xml:space="preserve">to which the data subject is party, as is the case, for example, when processing operations are necessary for</w:t>
      </w:r>
      <w:r>
        <w:t xml:space="preserve"> </w:t>
      </w:r>
      <w:r>
        <w:t xml:space="preserve">the supply of goods or to provide any other service, the processing is based on Article 6(1) lit. b GDPR. The</w:t>
      </w:r>
      <w:r>
        <w:t xml:space="preserve"> </w:t>
      </w:r>
      <w:r>
        <w:t xml:space="preserve">same applies to such processing operations which are necessary for carrying out pre-contractual measures, for</w:t>
      </w:r>
      <w:r>
        <w:t xml:space="preserve"> </w:t>
      </w:r>
      <w:r>
        <w:t xml:space="preserve">example in the case of inquiries concerning our products or services. Is our company subject to a legal</w:t>
      </w:r>
      <w:r>
        <w:t xml:space="preserve"> </w:t>
      </w:r>
      <w:r>
        <w:t xml:space="preserve">obligation by which processing of personal data is required, such as for the fulfillment of tax obligations,</w:t>
      </w:r>
      <w:r>
        <w:t xml:space="preserve"> </w:t>
      </w:r>
      <w:r>
        <w:t xml:space="preserve">the processing is based on Art. 6(1) lit. c GDPR. In rare cases, the processing of personal data may be</w:t>
      </w:r>
      <w:r>
        <w:t xml:space="preserve"> </w:t>
      </w:r>
      <w:r>
        <w:t xml:space="preserve">necessary to protect the vital interests of the data subject or of another natural person. This would be the</w:t>
      </w:r>
      <w:r>
        <w:t xml:space="preserve"> </w:t>
      </w:r>
      <w:r>
        <w:t xml:space="preserve">case, for example, if a visitor were injured in our company and his name, age, health insurance data or other</w:t>
      </w:r>
      <w:r>
        <w:t xml:space="preserve"> </w:t>
      </w:r>
      <w:r>
        <w:t xml:space="preserve">vital information would have to be passed on to a doctor, hospital or other third party. Then the processing</w:t>
      </w:r>
      <w:r>
        <w:t xml:space="preserve"> </w:t>
      </w:r>
      <w:r>
        <w:t xml:space="preserve">would be based on Art. 6(1) lit. d GDPR. Finally, processing operations could be based on Article 6(1) lit. f</w:t>
      </w:r>
      <w:r>
        <w:t xml:space="preserve"> </w:t>
      </w:r>
      <w:r>
        <w:t xml:space="preserve">GDPR. This legal basis is used for processing operations which are not covered by any of the abovementioned</w:t>
      </w:r>
      <w:r>
        <w:t xml:space="preserve"> </w:t>
      </w:r>
      <w:r>
        <w:t xml:space="preserve">legal grounds, if processing is necessary for the purposes of the legitimate interests pursued by our company</w:t>
      </w:r>
      <w:r>
        <w:t xml:space="preserve"> </w:t>
      </w:r>
      <w:r>
        <w:t xml:space="preserve">or by a third party, except where such interests are overridden by the interests or fundamental rights and</w:t>
      </w:r>
      <w:r>
        <w:t xml:space="preserve"> </w:t>
      </w:r>
      <w:r>
        <w:t xml:space="preserve">freedoms of the data subject which require protection of personal data. Such processing operations are</w:t>
      </w:r>
      <w:r>
        <w:t xml:space="preserve"> </w:t>
      </w:r>
      <w:r>
        <w:t xml:space="preserve">particularly permissible because they have been specifically mentioned by the European legislator. He</w:t>
      </w:r>
      <w:r>
        <w:t xml:space="preserve"> </w:t>
      </w:r>
      <w:r>
        <w:t xml:space="preserve">considered that a legitimate interest could be assumed if the data subject is a client of the controller</w:t>
      </w:r>
      <w:r>
        <w:t xml:space="preserve"> </w:t>
      </w:r>
      <w:r>
        <w:t xml:space="preserve">(Recital 47 Sentence 2 GDPR).</w:t>
      </w:r>
    </w:p>
    <w:bookmarkEnd w:id="29"/>
    <w:bookmarkStart w:id="30" w:name="Xff5785ccc4eb8512cae7c22eb14190256d8ff17"/>
    <w:p>
      <w:pPr>
        <w:pStyle w:val="Heading2"/>
      </w:pPr>
      <w:r>
        <w:t xml:space="preserve">10. The legitimate interests pursued by the controller or by a third party</w:t>
      </w:r>
    </w:p>
    <w:p>
      <w:pPr>
        <w:pStyle w:val="FirstParagraph"/>
      </w:pPr>
      <w:r>
        <w:t xml:space="preserve">Where the processing of personal data is based on Article 6(1) lit. f GDPR our legitimate interest is to carry</w:t>
      </w:r>
      <w:r>
        <w:t xml:space="preserve"> </w:t>
      </w:r>
      <w:r>
        <w:t xml:space="preserve">out our business in favor of the well-being of all our employees and the shareholders.</w:t>
      </w:r>
    </w:p>
    <w:bookmarkEnd w:id="30"/>
    <w:bookmarkStart w:id="31" w:name="X604a8cc66c54faccb15bb16ee42c4d6f2de607d"/>
    <w:p>
      <w:pPr>
        <w:pStyle w:val="Heading2"/>
      </w:pPr>
      <w:r>
        <w:t xml:space="preserve">11. Period for which the personal data will be stored</w:t>
      </w:r>
    </w:p>
    <w:p>
      <w:pPr>
        <w:pStyle w:val="FirstParagraph"/>
      </w:pPr>
      <w:r>
        <w:t xml:space="preserve">The criteria used to determine the period of storage of personal data is the respective statutory retention</w:t>
      </w:r>
      <w:r>
        <w:t xml:space="preserve"> </w:t>
      </w:r>
      <w:r>
        <w:t xml:space="preserve">period. After expiration of that period, the corresponding data is routinely deleted, as long as it is no</w:t>
      </w:r>
      <w:r>
        <w:t xml:space="preserve"> </w:t>
      </w:r>
      <w:r>
        <w:t xml:space="preserve">longer necessary for the fulfillment of the contract or the initiation of a contract.</w:t>
      </w:r>
    </w:p>
    <w:bookmarkEnd w:id="31"/>
    <w:bookmarkStart w:id="32" w:name="X69511c0340134b65c5096d34de279170838e0a0"/>
    <w:p>
      <w:pPr>
        <w:pStyle w:val="Heading2"/>
      </w:pPr>
      <w:r>
        <w:t xml:space="preserve">12. Provision of personal data as statutory or contractual requirement; Requirement necessary to enter into a contract; Obligation of the data subject to provide the personal data; possible consequences of failure to provide such data</w:t>
      </w:r>
    </w:p>
    <w:p>
      <w:pPr>
        <w:pStyle w:val="FirstParagraph"/>
      </w:pPr>
      <w:r>
        <w:t xml:space="preserve">We clarify that the provision of personal data is partly required by law (e.g. tax regulations) or can also</w:t>
      </w:r>
      <w:r>
        <w:t xml:space="preserve"> </w:t>
      </w:r>
      <w:r>
        <w:t xml:space="preserve">result from contractual provisions (e.g. information on the contractual partner). Sometimes it may be</w:t>
      </w:r>
      <w:r>
        <w:t xml:space="preserve"> </w:t>
      </w:r>
      <w:r>
        <w:t xml:space="preserve">necessary to conclude a contract that the data subject provides us with personal data, which must subsequently</w:t>
      </w:r>
      <w:r>
        <w:t xml:space="preserve"> </w:t>
      </w:r>
      <w:r>
        <w:t xml:space="preserve">be processed by us. The data subject is, for example, obliged to provide us with personal data when our</w:t>
      </w:r>
      <w:r>
        <w:t xml:space="preserve"> </w:t>
      </w:r>
      <w:r>
        <w:t xml:space="preserve">company signs a contract with him or her. The non-provision of the personal data would have the consequence</w:t>
      </w:r>
      <w:r>
        <w:t xml:space="preserve"> </w:t>
      </w:r>
      <w:r>
        <w:t xml:space="preserve">that the contract with the data subject could not be concluded. Before personal data is provided by the data</w:t>
      </w:r>
      <w:r>
        <w:t xml:space="preserve"> </w:t>
      </w:r>
      <w:r>
        <w:t xml:space="preserve">subject, the data subject must contact any employee. The employee clarifies to the data subject whether the</w:t>
      </w:r>
      <w:r>
        <w:t xml:space="preserve"> </w:t>
      </w:r>
      <w:r>
        <w:t xml:space="preserve">provision of the personal data is required by law or contract or is necessary for the conclusion of the</w:t>
      </w:r>
      <w:r>
        <w:t xml:space="preserve"> </w:t>
      </w:r>
      <w:r>
        <w:t xml:space="preserve">contract, whether there is an obligation to provide the personal data and the consequences of non-provision of</w:t>
      </w:r>
      <w:r>
        <w:t xml:space="preserve"> </w:t>
      </w:r>
      <w:r>
        <w:t xml:space="preserve">data.</w:t>
      </w:r>
    </w:p>
    <w:bookmarkEnd w:id="32"/>
    <w:bookmarkStart w:id="33" w:name="it-security"/>
    <w:p>
      <w:pPr>
        <w:pStyle w:val="Heading2"/>
      </w:pPr>
      <w:r>
        <w:t xml:space="preserve">13. IT-Security</w:t>
      </w:r>
    </w:p>
    <w:p>
      <w:pPr>
        <w:pStyle w:val="FirstParagraph"/>
      </w:pPr>
      <w:r>
        <w:t xml:space="preserve">To protect the security of your data during transmission, we use state-of-the-art encryption methods (such as</w:t>
      </w:r>
      <w:r>
        <w:t xml:space="preserve"> </w:t>
      </w:r>
      <w:r>
        <w:t xml:space="preserve">SSL) via HTTPS.</w:t>
      </w:r>
    </w:p>
    <w:bookmarkEnd w:id="33"/>
    <w:bookmarkStart w:id="34" w:name="existence-of-automated-decision-making"/>
    <w:p>
      <w:pPr>
        <w:pStyle w:val="Heading2"/>
      </w:pPr>
      <w:r>
        <w:t xml:space="preserve">14. Existence of automated decision-making</w:t>
      </w:r>
    </w:p>
    <w:p>
      <w:pPr>
        <w:pStyle w:val="FirstParagraph"/>
      </w:pPr>
      <w:r>
        <w:t xml:space="preserve">&lt;enter company name&gt; does not perform automatic decision-making or profiling.</w:t>
      </w:r>
    </w:p>
    <w:bookmarkEnd w:id="34"/>
    <w:bookmarkStart w:id="37" w:name="revision-of-this-privacy-policy"/>
    <w:p>
      <w:pPr>
        <w:pStyle w:val="Heading2"/>
      </w:pPr>
      <w:r>
        <w:t xml:space="preserve">15. Revision of this privacy policy</w:t>
      </w:r>
    </w:p>
    <w:p>
      <w:pPr>
        <w:pStyle w:val="FirstParagraph"/>
      </w:pPr>
      <w:r>
        <w:t xml:space="preserve">We reserve the right to amend this privacy policy so that it always complies with current legal requirements</w:t>
      </w:r>
      <w:r>
        <w:t xml:space="preserve"> </w:t>
      </w:r>
      <w:r>
        <w:t xml:space="preserve">or to implement changes to our services in the privacy policy, e.g. when introducing new services. Your next</w:t>
      </w:r>
      <w:r>
        <w:t xml:space="preserve"> </w:t>
      </w:r>
      <w:r>
        <w:t xml:space="preserve">visit will be subject to the new privacy policy.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5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6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7"/>
    <w:bookmarkEnd w:id="3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725">
    <w:nsid w:val="A99725"/>
    <w:multiLevelType w:val="multilevel"/>
    <w:lvl w:ilvl="0">
      <w:start w:val="5"/>
      <w:numFmt w:val="lowerLetter"/>
      <w:lvlText w:val="%1)"/>
      <w:lvlJc w:val="left"/>
      <w:pPr>
        <w:ind w:left="720" w:hanging="480"/>
      </w:pPr>
    </w:lvl>
    <w:lvl w:ilvl="1">
      <w:start w:val="5"/>
      <w:numFmt w:val="lowerLetter"/>
      <w:lvlText w:val="%2)"/>
      <w:lvlJc w:val="left"/>
      <w:pPr>
        <w:ind w:left="1440" w:hanging="480"/>
      </w:pPr>
    </w:lvl>
    <w:lvl w:ilvl="2">
      <w:start w:val="5"/>
      <w:numFmt w:val="lowerLetter"/>
      <w:lvlText w:val="%3)"/>
      <w:lvlJc w:val="left"/>
      <w:pPr>
        <w:ind w:left="2160" w:hanging="480"/>
      </w:pPr>
    </w:lvl>
    <w:lvl w:ilvl="3">
      <w:start w:val="5"/>
      <w:numFmt w:val="lowerLetter"/>
      <w:lvlText w:val="%4)"/>
      <w:lvlJc w:val="left"/>
      <w:pPr>
        <w:ind w:left="2880" w:hanging="480"/>
      </w:pPr>
    </w:lvl>
    <w:lvl w:ilvl="4">
      <w:start w:val="5"/>
      <w:numFmt w:val="lowerLetter"/>
      <w:lvlText w:val="%5)"/>
      <w:lvlJc w:val="left"/>
      <w:pPr>
        <w:ind w:left="3600" w:hanging="480"/>
      </w:pPr>
    </w:lvl>
    <w:lvl w:ilvl="5">
      <w:start w:val="5"/>
      <w:numFmt w:val="lowerLetter"/>
      <w:lvlText w:val="%6)"/>
      <w:lvlJc w:val="left"/>
      <w:pPr>
        <w:ind w:left="4320" w:hanging="480"/>
      </w:pPr>
    </w:lvl>
    <w:lvl w:ilvl="6">
      <w:start w:val="5"/>
      <w:numFmt w:val="lowerLetter"/>
      <w:lvlText w:val="%7)"/>
      <w:lvlJc w:val="left"/>
      <w:pPr>
        <w:ind w:left="5040" w:hanging="480"/>
      </w:pPr>
    </w:lvl>
    <w:lvl w:ilvl="7">
      <w:start w:val="5"/>
      <w:numFmt w:val="lowerLetter"/>
      <w:lvlText w:val="%8)"/>
      <w:lvlJc w:val="left"/>
      <w:pPr>
        <w:ind w:left="5760" w:hanging="480"/>
      </w:pPr>
    </w:lvl>
    <w:lvl w:ilvl="8">
      <w:start w:val="5"/>
      <w:numFmt w:val="lowerLetter"/>
      <w:lvlText w:val="%9)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72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5" Target="https://openregulatory.com" TargetMode="External" /><Relationship Type="http://schemas.openxmlformats.org/officeDocument/2006/relationships/hyperlink" Id="rId36" Target="https://openregulatory.com/template-license" TargetMode="External" /><Relationship Type="http://schemas.openxmlformats.org/officeDocument/2006/relationships/hyperlink" Id="rId26" Target="https://www.bfdi.bund.de/DE/Service/Anschriften/Laender/Laender-node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5" Target="https://openregulatory.com" TargetMode="External" /><Relationship Type="http://schemas.openxmlformats.org/officeDocument/2006/relationships/hyperlink" Id="rId36" Target="https://openregulatory.com/template-license" TargetMode="External" /><Relationship Type="http://schemas.openxmlformats.org/officeDocument/2006/relationships/hyperlink" Id="rId26" Target="https://www.bfdi.bund.de/DE/Service/Anschriften/Laender/Laender-node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2024-04-18T11:26:13Z</dcterms:created>
  <dcterms:modified xsi:type="dcterms:W3CDTF">2024-04-18T11:26:13Z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