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BlockText"/>
      </w:pPr>
      <w:r>
        <w:t xml:space="preserve">Note that this template includes legal provisions for Germany by referencing the German Federal Data</w:t>
      </w:r>
      <w:r>
        <w:t xml:space="preserve"> </w:t>
      </w:r>
      <w:r>
        <w:t xml:space="preserve">Protection Act (BDSG). If your company is based anywhere else, you should customize the contents before</w:t>
      </w:r>
      <w:r>
        <w:t xml:space="preserve"> </w:t>
      </w:r>
      <w:r>
        <w:t xml:space="preserve">using the template.</w:t>
      </w:r>
    </w:p>
    <w:bookmarkStart w:id="23" w:name="Xc4c8e467103aa53078eca3a23abe37baf46e65d"/>
    <w:p>
      <w:pPr>
        <w:pStyle w:val="Heading1"/>
      </w:pPr>
      <w:r>
        <w:t xml:space="preserve">Data Protection and Confidentiality Agreement</w:t>
      </w:r>
    </w:p>
    <w:p>
      <w:pPr>
        <w:pStyle w:val="FirstParagraph"/>
      </w:pPr>
      <w:r>
        <w:t xml:space="preserve">As part of your employment, you may be instructed to process personal data or potentially personal data that</w:t>
      </w:r>
      <w:r>
        <w:t xml:space="preserve"> </w:t>
      </w:r>
      <w:r>
        <w:t xml:space="preserve">has been entrusted to you in accordance with the data protection regulations. To that end, you are provided</w:t>
      </w:r>
      <w:r>
        <w:t xml:space="preserve"> </w:t>
      </w:r>
      <w:r>
        <w:t xml:space="preserve">with an overview of the regulations relevant to your obligation. Data which you have become aware of during</w:t>
      </w:r>
      <w:r>
        <w:t xml:space="preserve"> </w:t>
      </w:r>
      <w:r>
        <w:t xml:space="preserve">the performance of your duties must not be misused for your own or any other purposes. This obligation remains</w:t>
      </w:r>
      <w:r>
        <w:t xml:space="preserve"> </w:t>
      </w:r>
      <w:r>
        <w:t xml:space="preserve">in force even after the termination of your employment. Deliberate or negligent breaches can have legal</w:t>
      </w:r>
      <w:r>
        <w:t xml:space="preserve"> </w:t>
      </w:r>
      <w:r>
        <w:t xml:space="preserve">consequences.</w:t>
      </w:r>
    </w:p>
    <w:p>
      <w:pPr>
        <w:pStyle w:val="BodyText"/>
      </w:pPr>
      <w:r>
        <w:t xml:space="preserve">Personal data is all information related to an identified or identifiable person. It may not be collected,</w:t>
      </w:r>
      <w:r>
        <w:t xml:space="preserve"> </w:t>
      </w:r>
      <w:r>
        <w:t xml:space="preserve">used, passed on or otherwise processed without authorization. Personal data may only be processed in line with</w:t>
      </w:r>
      <w:r>
        <w:t xml:space="preserve"> </w:t>
      </w:r>
      <w:r>
        <w:t xml:space="preserve">company instructions. In addition to instructions from a supervisor, the following are regarded as</w:t>
      </w:r>
      <w:r>
        <w:t xml:space="preserve"> </w:t>
      </w:r>
      <w:r>
        <w:t xml:space="preserve">instructions: documents of the company”s quality management system, other operational documentation, flow</w:t>
      </w:r>
      <w:r>
        <w:t xml:space="preserve"> </w:t>
      </w:r>
      <w:r>
        <w:t xml:space="preserve">charts, company agreements or employee manuals.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I, &lt;employee name&gt;</w:t>
      </w:r>
    </w:p>
    <w:p>
      <w:pPr>
        <w:pStyle w:val="BodyText"/>
      </w:pPr>
      <w:r>
        <w:t xml:space="preserve">hereby commit to keep strictest confidentiality with respect to personal data and to process it exclusively</w:t>
      </w:r>
      <w:r>
        <w:t xml:space="preserve"> </w:t>
      </w:r>
      <w:r>
        <w:t xml:space="preserve">according to the instructions of &lt;enter company name&gt;. I hereby further commit to keep strictest</w:t>
      </w:r>
      <w:r>
        <w:t xml:space="preserve"> </w:t>
      </w:r>
      <w:r>
        <w:t xml:space="preserve">confidentiality with respect to the personal data I shall collect, process, or access in the scope of my</w:t>
      </w:r>
      <w:r>
        <w:t xml:space="preserve"> </w:t>
      </w:r>
      <w:r>
        <w:t xml:space="preserve">activities for &lt;enter company name&gt;, and to refrain from disclosing them to any other natural or legal</w:t>
      </w:r>
      <w:r>
        <w:t xml:space="preserve"> </w:t>
      </w:r>
      <w:r>
        <w:t xml:space="preserve">person, including other employees of &lt;enter company name&gt;, unless disclosure is explicitly authorized by</w:t>
      </w:r>
      <w:r>
        <w:t xml:space="preserve"> </w:t>
      </w:r>
      <w:r>
        <w:t xml:space="preserve">instructions of the employer, contract or law, or unless disclosure is necessary to fulfill the instructions</w:t>
      </w:r>
      <w:r>
        <w:t xml:space="preserve"> </w:t>
      </w:r>
      <w:r>
        <w:t xml:space="preserve">of &lt;enter company name&gt;.</w:t>
      </w:r>
    </w:p>
    <w:p>
      <w:pPr>
        <w:pStyle w:val="BodyText"/>
      </w:pPr>
      <w:r>
        <w:t xml:space="preserve">For instance, I am not allowed to use mobile data media, take printed copies home with me, or pass on personal</w:t>
      </w:r>
      <w:r>
        <w:t xml:space="preserve"> </w:t>
      </w:r>
      <w:r>
        <w:t xml:space="preserve">passwords to third parties. Further instructions on what has to be observed in terms of data protection law</w:t>
      </w:r>
      <w:r>
        <w:t xml:space="preserve"> </w:t>
      </w:r>
      <w:r>
        <w:t xml:space="preserve">can be found, inter alia, in:</w:t>
      </w:r>
    </w:p>
    <w:p>
      <w:pPr>
        <w:numPr>
          <w:ilvl w:val="0"/>
          <w:numId w:val="1001"/>
        </w:numPr>
        <w:pStyle w:val="Compact"/>
      </w:pPr>
      <w:r>
        <w:t xml:space="preserve">The company”s technical and organizational measures</w:t>
      </w:r>
    </w:p>
    <w:p>
      <w:pPr>
        <w:numPr>
          <w:ilvl w:val="0"/>
          <w:numId w:val="1001"/>
        </w:numPr>
        <w:pStyle w:val="Compact"/>
      </w:pPr>
      <w:r>
        <w:t xml:space="preserve">Company forms on employee obligations with regards to the handling of hardware</w:t>
      </w:r>
    </w:p>
    <w:p>
      <w:pPr>
        <w:numPr>
          <w:ilvl w:val="0"/>
          <w:numId w:val="1001"/>
        </w:numPr>
        <w:pStyle w:val="Compact"/>
      </w:pPr>
      <w:r>
        <w:t xml:space="preserve">The company”s list of data processing activities</w:t>
      </w:r>
    </w:p>
    <w:p>
      <w:pPr>
        <w:numPr>
          <w:ilvl w:val="0"/>
          <w:numId w:val="1001"/>
        </w:numPr>
        <w:pStyle w:val="Compact"/>
      </w:pPr>
      <w:r>
        <w:t xml:space="preserve">&lt;add anything else relevant here, e.g. authorization concept for software systems&gt;</w:t>
      </w:r>
    </w:p>
    <w:p>
      <w:pPr>
        <w:pStyle w:val="FirstParagraph"/>
      </w:pPr>
      <w:r>
        <w:t xml:space="preserve">This non-disclosure and confidentiality obligation continues to apply even after my employment with &lt;enter</w:t>
      </w:r>
      <w:r>
        <w:t xml:space="preserve"> </w:t>
      </w:r>
      <w:r>
        <w:t xml:space="preserve">company name&gt; has ended.</w:t>
      </w:r>
    </w:p>
    <w:p>
      <w:pPr>
        <w:pStyle w:val="BodyText"/>
      </w:pPr>
      <w:r>
        <w:t xml:space="preserve">I am aware that any infringement against this obligation or of applicable data protection law such as Art. 83</w:t>
      </w:r>
      <w:r>
        <w:t xml:space="preserve"> </w:t>
      </w:r>
      <w:r>
        <w:t xml:space="preserve">of the European General Data Protection Regulation (GDPR), §§ 42 and 43 of the German Federal Data Protection</w:t>
      </w:r>
      <w:r>
        <w:t xml:space="preserve"> </w:t>
      </w:r>
      <w:r>
        <w:t xml:space="preserve">Act (</w:t>
      </w:r>
      <w:r>
        <w:t xml:space="preserve">“</w:t>
      </w:r>
      <w:r>
        <w:t xml:space="preserve">Bundesdatenschutzgesetz</w:t>
      </w:r>
      <w:r>
        <w:t xml:space="preserve">”</w:t>
      </w:r>
      <w:r>
        <w:t xml:space="preserve">, BDSG) or other applicable European or national legal provisions may result in</w:t>
      </w:r>
      <w:r>
        <w:t xml:space="preserve"> </w:t>
      </w:r>
      <w:r>
        <w:t xml:space="preserve">serious fines, monetary or prison sentences and may possibly cause damage to natural or legal persons,</w:t>
      </w:r>
      <w:r>
        <w:t xml:space="preserve"> </w:t>
      </w:r>
      <w:r>
        <w:t xml:space="preserve">including the employer. In addition, infringement against this obligation may also constitute a breach of</w:t>
      </w:r>
      <w:r>
        <w:t xml:space="preserve"> </w:t>
      </w:r>
      <w:r>
        <w:t xml:space="preserve">obligations under the employment contract or of specific obligations for confidentiality and may, for example,</w:t>
      </w:r>
      <w:r>
        <w:t xml:space="preserve"> </w:t>
      </w:r>
      <w:r>
        <w:t xml:space="preserve">lead to a formal warning, a termination in due time or without notice or to an obligation to pay for</w:t>
      </w:r>
      <w:r>
        <w:t xml:space="preserve"> </w:t>
      </w:r>
      <w:r>
        <w:t xml:space="preserve">compensation. Legal consequences of a breach can also entail claims for damages against me personally by the</w:t>
      </w:r>
      <w:r>
        <w:t xml:space="preserve"> </w:t>
      </w:r>
      <w:r>
        <w:t xml:space="preserve">persons to whom such data refers. In these cases, I may be liable without limitation with all my assets and</w:t>
      </w:r>
      <w:r>
        <w:t xml:space="preserve"> </w:t>
      </w:r>
      <w:r>
        <w:t xml:space="preserve">without the possibility of residual debt discharge in the course of insolvency proceedings. Other obligations</w:t>
      </w:r>
      <w:r>
        <w:t xml:space="preserve"> </w:t>
      </w:r>
      <w:r>
        <w:t xml:space="preserve">of secrecy, such as those arising from the employment contract, continue to exist alongside this obligation.</w:t>
      </w:r>
    </w:p>
    <w:p>
      <w:pPr>
        <w:pStyle w:val="BodyText"/>
      </w:pPr>
      <w:r>
        <w:t xml:space="preserve">I have read and understood this obligation to maintain confidentiality and to comply with data protection</w:t>
      </w:r>
      <w:r>
        <w:t xml:space="preserve"> </w:t>
      </w:r>
      <w:r>
        <w:t xml:space="preserve">regulations:</w:t>
      </w:r>
    </w:p>
    <w:p>
      <w:pPr>
        <w:pStyle w:val="BodyText"/>
      </w:pPr>
      <w:r>
        <w:t xml:space="preserve">&lt;Place, date and signature of employee&gt;</w:t>
      </w:r>
      <w:r>
        <w:br/>
      </w:r>
      <w:r>
        <w:t xml:space="preserve">&lt;Place, date and signature of supervisor&gt;</w:t>
      </w:r>
    </w:p>
    <w:p>
      <w:pPr>
        <w:pStyle w:val="BodyText"/>
      </w:pPr>
      <w:r>
        <w:t xml:space="preserve">I confirm that I have been informed about the meaning and relevance of this data protection obligation. I have</w:t>
      </w:r>
      <w:r>
        <w:t xml:space="preserve"> </w:t>
      </w:r>
      <w:r>
        <w:t xml:space="preserve">been given the opportunity to receive a copy of this form as well as further information on data protection</w:t>
      </w:r>
      <w:r>
        <w:t xml:space="preserve"> </w:t>
      </w:r>
      <w:r>
        <w:t xml:space="preserve">and the text of Art. 29 GDPR, Art. 83 para. 4 - 6 GDPR, Art. 42 para. 1 and 2 BDSG and Art. 43 para. 1 and 2</w:t>
      </w:r>
      <w:r>
        <w:t xml:space="preserve"> </w:t>
      </w:r>
      <w:r>
        <w:t xml:space="preserve">BDSG.</w:t>
      </w:r>
    </w:p>
    <w:p>
      <w:pPr>
        <w:pStyle w:val="BodyText"/>
      </w:pPr>
      <w:r>
        <w:t xml:space="preserve">&lt;Place, date and signature of employee&gt;</w:t>
      </w:r>
      <w:r>
        <w:br/>
      </w:r>
      <w:r>
        <w:t xml:space="preserve">&lt;Place, date and signature of supervisor&gt;</w:t>
      </w:r>
    </w:p>
    <w:p>
      <w:r>
        <w:pict>
          <v:rect style="width:0;height:1.5pt" o:hralign="center" o:hrstd="t" o:hr="t"/>
        </w:pict>
      </w:r>
    </w:p>
    <w:bookmarkStart w:id="22" w:name="X2b20132847d63f9238e253cd415468c5458e3a1"/>
    <w:p>
      <w:pPr>
        <w:pStyle w:val="Heading2"/>
      </w:pPr>
      <w:r>
        <w:t xml:space="preserve">Annex: Further information on data protection</w:t>
      </w:r>
    </w:p>
    <w:p>
      <w:pPr>
        <w:numPr>
          <w:ilvl w:val="0"/>
          <w:numId w:val="1002"/>
        </w:numPr>
      </w:pPr>
      <w:r>
        <w:rPr>
          <w:bCs/>
          <w:b/>
        </w:rPr>
        <w:t xml:space="preserve">Processing</w:t>
      </w:r>
      <w:r>
        <w:t xml:space="preserve"> </w:t>
      </w:r>
      <w:r>
        <w:t xml:space="preserve">within the EU General Data Protection Regulation (DSGVO) means any process or series of</w:t>
      </w:r>
      <w:r>
        <w:t xml:space="preserve"> </w:t>
      </w:r>
      <w:r>
        <w:t xml:space="preserve">operations performed with or without the aid of automated processes in connection with personal data such as</w:t>
      </w:r>
      <w:r>
        <w:t xml:space="preserve"> </w:t>
      </w:r>
      <w:r>
        <w:t xml:space="preserve">collection, organization, ordering, storage, adaptation, alteration, reading, querying, use, disclosure</w:t>
      </w:r>
      <w:r>
        <w:t xml:space="preserve"> </w:t>
      </w:r>
      <w:r>
        <w:t xml:space="preserve">through transmission, dissemination or other form of provision, matching or linking, restriction, erasure or</w:t>
      </w:r>
      <w:r>
        <w:t xml:space="preserve"> </w:t>
      </w:r>
      <w:r>
        <w:t xml:space="preserve">destruction. Any processing of personal data must be carried out according to a valid legal basis out of</w:t>
      </w:r>
      <w:r>
        <w:t xml:space="preserve"> </w:t>
      </w:r>
      <w:r>
        <w:t xml:space="preserve">those recognized by art. 6 GDPR and only for the purpose they have been collected for.</w:t>
      </w:r>
    </w:p>
    <w:p>
      <w:pPr>
        <w:numPr>
          <w:ilvl w:val="0"/>
          <w:numId w:val="1002"/>
        </w:numPr>
      </w:pPr>
      <w:r>
        <w:rPr>
          <w:bCs/>
          <w:b/>
        </w:rPr>
        <w:t xml:space="preserve">Personal data</w:t>
      </w:r>
      <w:r>
        <w:t xml:space="preserve"> </w:t>
      </w:r>
      <w:r>
        <w:t xml:space="preserve">within the meaning of the GDPR are all information relating to an identified or</w:t>
      </w:r>
      <w:r>
        <w:t xml:space="preserve"> </w:t>
      </w:r>
      <w:r>
        <w:t xml:space="preserve">identifiable natural person; a natural person is considered as identifiable if it can be directly or</w:t>
      </w:r>
      <w:r>
        <w:t xml:space="preserve"> </w:t>
      </w:r>
      <w:r>
        <w:t xml:space="preserve">indirectly identified, in particular by association with an identifier such as a name, an identification</w:t>
      </w:r>
      <w:r>
        <w:t xml:space="preserve"> </w:t>
      </w:r>
      <w:r>
        <w:t xml:space="preserve">number, location data, an online identifier or one or more special features, the expression of the physical,</w:t>
      </w:r>
      <w:r>
        <w:t xml:space="preserve"> </w:t>
      </w:r>
      <w:r>
        <w:t xml:space="preserve">physiological, genetic, mental, economic, cultural or social identity of this natural person. The principles</w:t>
      </w:r>
      <w:r>
        <w:t xml:space="preserve"> </w:t>
      </w:r>
      <w:r>
        <w:t xml:space="preserve">of the European General Data Protection Regulation (GDPR) for the processing of personal data must be</w:t>
      </w:r>
      <w:r>
        <w:t xml:space="preserve"> </w:t>
      </w:r>
      <w:r>
        <w:t xml:space="preserve">adhered to; they are laid down in Art. 5 para. 1 GDPR and essentially contain the following obligations.</w:t>
      </w:r>
    </w:p>
    <w:p>
      <w:pPr>
        <w:pStyle w:val="FirstParagraph"/>
      </w:pPr>
      <w:r>
        <w:t xml:space="preserve">Personal data must be</w:t>
      </w:r>
    </w:p>
    <w:p>
      <w:pPr>
        <w:numPr>
          <w:ilvl w:val="0"/>
          <w:numId w:val="1003"/>
        </w:numPr>
        <w:pStyle w:val="Compact"/>
      </w:pPr>
      <w:r>
        <w:t xml:space="preserve">processed lawfully, fairly and in a transparent manner in relation to the data subject (</w:t>
      </w:r>
      <w:r>
        <w:t xml:space="preserve">“</w:t>
      </w:r>
      <w:r>
        <w:t xml:space="preserve">lawfulness,</w:t>
      </w:r>
      <w:r>
        <w:t xml:space="preserve"> </w:t>
      </w:r>
      <w:r>
        <w:t xml:space="preserve">fairness and transparency</w:t>
      </w:r>
      <w:r>
        <w:t xml:space="preserve">”</w:t>
      </w:r>
      <w:r>
        <w:t xml:space="preserve">);</w:t>
      </w:r>
    </w:p>
    <w:p>
      <w:pPr>
        <w:numPr>
          <w:ilvl w:val="0"/>
          <w:numId w:val="1003"/>
        </w:numPr>
        <w:pStyle w:val="Compact"/>
      </w:pPr>
      <w:r>
        <w:t xml:space="preserve">collected for specified, explicit and legitimate purposes and not further processed in a manner that is</w:t>
      </w:r>
      <w:r>
        <w:t xml:space="preserve"> </w:t>
      </w:r>
      <w:r>
        <w:t xml:space="preserve">incompatible with those purposes; further processing for archiving purposes in the public interest,</w:t>
      </w:r>
      <w:r>
        <w:t xml:space="preserve"> </w:t>
      </w:r>
      <w:r>
        <w:t xml:space="preserve">scientific or historical research purposes or statistical purposes shall, in accordance with Article 89(1),</w:t>
      </w:r>
      <w:r>
        <w:t xml:space="preserve"> </w:t>
      </w:r>
      <w:r>
        <w:t xml:space="preserve">not be considered to be incompatible with the initial purposes (</w:t>
      </w:r>
      <w:r>
        <w:t xml:space="preserve">“</w:t>
      </w:r>
      <w:r>
        <w:t xml:space="preserve">purpose limitation</w:t>
      </w:r>
      <w:r>
        <w:t xml:space="preserve">”</w:t>
      </w:r>
      <w:r>
        <w:t xml:space="preserve">);</w:t>
      </w:r>
    </w:p>
    <w:p>
      <w:pPr>
        <w:numPr>
          <w:ilvl w:val="0"/>
          <w:numId w:val="1003"/>
        </w:numPr>
        <w:pStyle w:val="Compact"/>
      </w:pPr>
      <w:r>
        <w:t xml:space="preserve">adequate, relevant and limited to what is necessary in relation to the purposes for which they are</w:t>
      </w:r>
      <w:r>
        <w:t xml:space="preserve"> </w:t>
      </w:r>
      <w:r>
        <w:t xml:space="preserve">processed (</w:t>
      </w:r>
      <w:r>
        <w:t xml:space="preserve">“</w:t>
      </w:r>
      <w:r>
        <w:t xml:space="preserve">data minimization</w:t>
      </w:r>
      <w:r>
        <w:t xml:space="preserve">”</w:t>
      </w:r>
      <w:r>
        <w:t xml:space="preserve">);</w:t>
      </w:r>
    </w:p>
    <w:p>
      <w:pPr>
        <w:numPr>
          <w:ilvl w:val="0"/>
          <w:numId w:val="1003"/>
        </w:numPr>
        <w:pStyle w:val="Compact"/>
      </w:pPr>
      <w:r>
        <w:t xml:space="preserve">accurate and, where necessary, kept up to date; every reasonable step must be taken to ensure that personal</w:t>
      </w:r>
      <w:r>
        <w:t xml:space="preserve"> </w:t>
      </w:r>
      <w:r>
        <w:t xml:space="preserve">data that are inaccurate, having regard to the purposes for which they are processed, are erased or</w:t>
      </w:r>
      <w:r>
        <w:t xml:space="preserve"> </w:t>
      </w:r>
      <w:r>
        <w:t xml:space="preserve">rectified without delay (</w:t>
      </w:r>
      <w:r>
        <w:t xml:space="preserve">“</w:t>
      </w:r>
      <w:r>
        <w:t xml:space="preserve">accuracy</w:t>
      </w:r>
      <w:r>
        <w:t xml:space="preserve">”</w:t>
      </w:r>
      <w:r>
        <w:t xml:space="preserve">);</w:t>
      </w:r>
    </w:p>
    <w:p>
      <w:pPr>
        <w:numPr>
          <w:ilvl w:val="0"/>
          <w:numId w:val="1003"/>
        </w:numPr>
        <w:pStyle w:val="Compact"/>
      </w:pPr>
      <w:r>
        <w:t xml:space="preserve">kept in a form which permits identification of data subjects for no longer than is necessary for the</w:t>
      </w:r>
      <w:r>
        <w:t xml:space="preserve"> </w:t>
      </w:r>
      <w:r>
        <w:t xml:space="preserve">purposes for which the personal data are processed; personal data may be stored for longer periods insofar</w:t>
      </w:r>
      <w:r>
        <w:t xml:space="preserve"> </w:t>
      </w:r>
      <w:r>
        <w:t xml:space="preserve">as the personal data will be processed solely for archiving purposes in the public interest, scientific or</w:t>
      </w:r>
      <w:r>
        <w:t xml:space="preserve"> </w:t>
      </w:r>
      <w:r>
        <w:t xml:space="preserve">historical research purposes or statistical purposes in accordance with Article 89(1) subject to</w:t>
      </w:r>
      <w:r>
        <w:t xml:space="preserve"> </w:t>
      </w:r>
      <w:r>
        <w:t xml:space="preserve">implementation of the appropriate technical and organizational measures required by this Regulation in</w:t>
      </w:r>
      <w:r>
        <w:t xml:space="preserve"> </w:t>
      </w:r>
      <w:r>
        <w:t xml:space="preserve">order to safeguard the rights and freedoms of the data subject (</w:t>
      </w:r>
      <w:r>
        <w:t xml:space="preserve">“</w:t>
      </w:r>
      <w:r>
        <w:t xml:space="preserve">storage limitation</w:t>
      </w:r>
      <w:r>
        <w:t xml:space="preserve">”</w:t>
      </w:r>
      <w:r>
        <w:t xml:space="preserve">);</w:t>
      </w:r>
    </w:p>
    <w:p>
      <w:pPr>
        <w:numPr>
          <w:ilvl w:val="0"/>
          <w:numId w:val="1003"/>
        </w:numPr>
        <w:pStyle w:val="Compact"/>
      </w:pPr>
      <w:r>
        <w:t xml:space="preserve">processed in a manner that ensures appropriate security of the personal data, including protection against</w:t>
      </w:r>
      <w:r>
        <w:t xml:space="preserve"> </w:t>
      </w:r>
      <w:r>
        <w:t xml:space="preserve">unauthorized or unlawful processing and against accidental loss, destruction or damage, using appropriate</w:t>
      </w:r>
      <w:r>
        <w:t xml:space="preserve"> </w:t>
      </w:r>
      <w:r>
        <w:t xml:space="preserve">technical or organizational measures (</w:t>
      </w:r>
      <w:r>
        <w:t xml:space="preserve">“</w:t>
      </w:r>
      <w:r>
        <w:t xml:space="preserve">integrity and confidentiality</w:t>
      </w:r>
      <w:r>
        <w:t xml:space="preserve">”</w:t>
      </w:r>
      <w:r>
        <w:t xml:space="preserve">).</w:t>
      </w:r>
      <w:r>
        <w:br/>
      </w:r>
    </w:p>
    <w:p>
      <w:pPr>
        <w:pStyle w:val="FirstParagraph"/>
      </w:pPr>
      <w:r>
        <w:rPr>
          <w:bCs/>
          <w:b/>
        </w:rPr>
        <w:t xml:space="preserve">Art. 29 GDPR: Processing under the authority of the controller or processor</w:t>
      </w:r>
    </w:p>
    <w:p>
      <w:pPr>
        <w:pStyle w:val="BodyText"/>
      </w:pPr>
      <w:r>
        <w:t xml:space="preserve">The processor and any person acting under the authority of the controller or of the processor, who has access</w:t>
      </w:r>
      <w:r>
        <w:t xml:space="preserve"> </w:t>
      </w:r>
      <w:r>
        <w:t xml:space="preserve">to personal data, shall not process those data except on instructions from the controller, unless required to</w:t>
      </w:r>
      <w:r>
        <w:t xml:space="preserve"> </w:t>
      </w:r>
      <w:r>
        <w:t xml:space="preserve">do so by Union or Member State law.</w:t>
      </w:r>
    </w:p>
    <w:p>
      <w:pPr>
        <w:pStyle w:val="BodyText"/>
      </w:pPr>
      <w:r>
        <w:rPr>
          <w:bCs/>
          <w:b/>
        </w:rPr>
        <w:t xml:space="preserve">Art. 83 GDPR: General conditions for imposing administrative fines</w:t>
      </w:r>
    </w:p>
    <w:p>
      <w:pPr>
        <w:numPr>
          <w:ilvl w:val="0"/>
          <w:numId w:val="1004"/>
        </w:numPr>
        <w:pStyle w:val="Compact"/>
      </w:pPr>
      <w:r>
        <w:t xml:space="preserve">Infringements of the following provisions shall, in accordance with paragraph 2, be subject to</w:t>
      </w:r>
      <w:r>
        <w:t xml:space="preserve"> </w:t>
      </w:r>
      <w:r>
        <w:t xml:space="preserve">administrative fines up to 10.000.000 EUR, or in the case of an undertaking, up to 2 % of the total worldwide</w:t>
      </w:r>
      <w:r>
        <w:t xml:space="preserve"> </w:t>
      </w:r>
      <w:r>
        <w:t xml:space="preserve">annual turnover of the preceding financial year, whichever is higher:</w:t>
      </w:r>
    </w:p>
    <w:p>
      <w:pPr>
        <w:numPr>
          <w:ilvl w:val="0"/>
          <w:numId w:val="1005"/>
        </w:numPr>
        <w:pStyle w:val="Compact"/>
      </w:pPr>
      <w:r>
        <w:t xml:space="preserve">the obligations of the controller and the processor pursuant to Articles 8, 11, 25 to 39 and 42 and 43;</w:t>
      </w:r>
    </w:p>
    <w:p>
      <w:pPr>
        <w:numPr>
          <w:ilvl w:val="0"/>
          <w:numId w:val="1005"/>
        </w:numPr>
        <w:pStyle w:val="Compact"/>
      </w:pPr>
      <w:r>
        <w:t xml:space="preserve">the obligations of the certification body pursuant to Articles 42 and 43;</w:t>
      </w:r>
    </w:p>
    <w:p>
      <w:pPr>
        <w:numPr>
          <w:ilvl w:val="0"/>
          <w:numId w:val="1005"/>
        </w:numPr>
        <w:pStyle w:val="Compact"/>
      </w:pPr>
      <w:r>
        <w:t xml:space="preserve">the obligations of the monitoring body pursuant to Article 41(4).</w:t>
      </w:r>
    </w:p>
    <w:p>
      <w:pPr>
        <w:numPr>
          <w:ilvl w:val="0"/>
          <w:numId w:val="1006"/>
        </w:numPr>
        <w:pStyle w:val="Compact"/>
      </w:pPr>
      <w:r>
        <w:t xml:space="preserve">Infringements of the following provisions shall, in accordance with paragraph 2, be subject to</w:t>
      </w:r>
      <w:r>
        <w:t xml:space="preserve"> </w:t>
      </w:r>
      <w:r>
        <w:t xml:space="preserve">administrative fines up to 20.000.000 EUR, or in the case of an undertaking, up to 4 % of the total worldwide</w:t>
      </w:r>
      <w:r>
        <w:t xml:space="preserve"> </w:t>
      </w:r>
      <w:r>
        <w:t xml:space="preserve">annual turnover of the preceding financial year, whichever is higher:</w:t>
      </w:r>
    </w:p>
    <w:p>
      <w:pPr>
        <w:numPr>
          <w:ilvl w:val="0"/>
          <w:numId w:val="1007"/>
        </w:numPr>
        <w:pStyle w:val="Compact"/>
      </w:pPr>
      <w:r>
        <w:t xml:space="preserve">the basic principles for processing, including conditions for consent, pursuant to Articles 5, 6, 7 and 9;</w:t>
      </w:r>
    </w:p>
    <w:p>
      <w:pPr>
        <w:numPr>
          <w:ilvl w:val="0"/>
          <w:numId w:val="1007"/>
        </w:numPr>
        <w:pStyle w:val="Compact"/>
      </w:pPr>
      <w:r>
        <w:t xml:space="preserve">the data subjects” rights pursuant to Articles 12 to 22;</w:t>
      </w:r>
    </w:p>
    <w:p>
      <w:pPr>
        <w:numPr>
          <w:ilvl w:val="0"/>
          <w:numId w:val="1007"/>
        </w:numPr>
        <w:pStyle w:val="Compact"/>
      </w:pPr>
      <w:r>
        <w:t xml:space="preserve">the transfers of personal data to a recipient in a third country or an international organization pursuant</w:t>
      </w:r>
      <w:r>
        <w:t xml:space="preserve"> </w:t>
      </w:r>
      <w:r>
        <w:t xml:space="preserve">to Art. 44 to 49;</w:t>
      </w:r>
    </w:p>
    <w:p>
      <w:pPr>
        <w:numPr>
          <w:ilvl w:val="0"/>
          <w:numId w:val="1007"/>
        </w:numPr>
        <w:pStyle w:val="Compact"/>
      </w:pPr>
      <w:r>
        <w:t xml:space="preserve">any obligations pursuant to Member State law adopted under Chapter IX;</w:t>
      </w:r>
    </w:p>
    <w:p>
      <w:pPr>
        <w:numPr>
          <w:ilvl w:val="0"/>
          <w:numId w:val="1007"/>
        </w:numPr>
        <w:pStyle w:val="Compact"/>
      </w:pPr>
      <w:r>
        <w:t xml:space="preserve">non-compliance with an order or a temporary or definitive limitation on processing or the suspension of</w:t>
      </w:r>
      <w:r>
        <w:t xml:space="preserve"> </w:t>
      </w:r>
      <w:r>
        <w:t xml:space="preserve">data flows by the supervisory authority pursuant to Article 58(2) or failure to provide access in violation</w:t>
      </w:r>
      <w:r>
        <w:t xml:space="preserve"> </w:t>
      </w:r>
      <w:r>
        <w:t xml:space="preserve">of Article 58(1).</w:t>
      </w:r>
    </w:p>
    <w:p>
      <w:pPr>
        <w:numPr>
          <w:ilvl w:val="0"/>
          <w:numId w:val="1008"/>
        </w:numPr>
        <w:pStyle w:val="Compact"/>
      </w:pPr>
      <w:r>
        <w:t xml:space="preserve">Non-compliance with an order by the supervisory authority as referred to in Article 58(2) shall, in</w:t>
      </w:r>
      <w:r>
        <w:t xml:space="preserve"> </w:t>
      </w:r>
      <w:r>
        <w:t xml:space="preserve">accordance with paragraph 2 of this Article, be subject to administrative fines up to 20 000 000 EUR, or in</w:t>
      </w:r>
      <w:r>
        <w:t xml:space="preserve"> </w:t>
      </w:r>
      <w:r>
        <w:t xml:space="preserve">the case of an undertaking, up to 4 % of the total worldwide annual turnover of the preceding financial year,</w:t>
      </w:r>
      <w:r>
        <w:t xml:space="preserve"> </w:t>
      </w:r>
      <w:r>
        <w:t xml:space="preserve">whichever is higher.</w:t>
      </w:r>
    </w:p>
    <w:p>
      <w:pPr>
        <w:pStyle w:val="FirstParagraph"/>
      </w:pPr>
      <w:r>
        <w:rPr>
          <w:bCs/>
          <w:b/>
        </w:rPr>
        <w:t xml:space="preserve">§ 42 BDSG: Penal provisions</w:t>
      </w:r>
    </w:p>
    <w:p>
      <w:pPr>
        <w:numPr>
          <w:ilvl w:val="0"/>
          <w:numId w:val="1009"/>
        </w:numPr>
        <w:pStyle w:val="Compact"/>
      </w:pPr>
      <w:r>
        <w:t xml:space="preserve">The following actions done deliberately and without authorization with regard to the personal data of a</w:t>
      </w:r>
      <w:r>
        <w:t xml:space="preserve"> </w:t>
      </w:r>
      <w:r>
        <w:t xml:space="preserve">large number of people which are not publicly accessible shall be punishable with imprisonment of up to three</w:t>
      </w:r>
      <w:r>
        <w:t xml:space="preserve"> </w:t>
      </w:r>
      <w:r>
        <w:t xml:space="preserve">years or a fine:</w:t>
      </w:r>
    </w:p>
    <w:p>
      <w:pPr>
        <w:numPr>
          <w:ilvl w:val="0"/>
          <w:numId w:val="1010"/>
        </w:numPr>
        <w:pStyle w:val="Compact"/>
      </w:pPr>
      <w:r>
        <w:t xml:space="preserve">transferring the data to a third party or</w:t>
      </w:r>
    </w:p>
    <w:p>
      <w:pPr>
        <w:numPr>
          <w:ilvl w:val="0"/>
          <w:numId w:val="1010"/>
        </w:numPr>
        <w:pStyle w:val="Compact"/>
      </w:pPr>
      <w:r>
        <w:t xml:space="preserve">otherwise making them accessible</w:t>
      </w:r>
    </w:p>
    <w:p>
      <w:pPr>
        <w:pStyle w:val="FirstParagraph"/>
      </w:pPr>
      <w:r>
        <w:t xml:space="preserve">for commercial purposes.</w:t>
      </w:r>
    </w:p>
    <w:p>
      <w:pPr>
        <w:numPr>
          <w:ilvl w:val="0"/>
          <w:numId w:val="1011"/>
        </w:numPr>
        <w:pStyle w:val="Compact"/>
      </w:pPr>
      <w:r>
        <w:t xml:space="preserve">The following actions done with regard to personal data which are not publicly accessible shall be</w:t>
      </w:r>
      <w:r>
        <w:t xml:space="preserve"> </w:t>
      </w:r>
      <w:r>
        <w:t xml:space="preserve">punishable with imprisonment of up to two years or a fine:</w:t>
      </w:r>
    </w:p>
    <w:p>
      <w:pPr>
        <w:numPr>
          <w:ilvl w:val="0"/>
          <w:numId w:val="1012"/>
        </w:numPr>
        <w:pStyle w:val="Compact"/>
      </w:pPr>
      <w:r>
        <w:t xml:space="preserve">processing without authorization, or</w:t>
      </w:r>
    </w:p>
    <w:p>
      <w:pPr>
        <w:numPr>
          <w:ilvl w:val="0"/>
          <w:numId w:val="1012"/>
        </w:numPr>
        <w:pStyle w:val="Compact"/>
      </w:pPr>
      <w:r>
        <w:t xml:space="preserve">fraudulently acquiring</w:t>
      </w:r>
    </w:p>
    <w:p>
      <w:pPr>
        <w:pStyle w:val="FirstParagraph"/>
      </w:pPr>
      <w:r>
        <w:t xml:space="preserve">and doing so in return for payment or with the intention of enriching oneself or someone else or harming</w:t>
      </w:r>
      <w:r>
        <w:t xml:space="preserve"> </w:t>
      </w:r>
      <w:r>
        <w:t xml:space="preserve">someone.</w:t>
      </w:r>
    </w:p>
    <w:p>
      <w:pPr>
        <w:pStyle w:val="BodyText"/>
      </w:pPr>
      <w:r>
        <w:rPr>
          <w:bCs/>
          <w:b/>
        </w:rPr>
        <w:t xml:space="preserve">§ 43 BDSG: Provisions on administrative fines</w:t>
      </w:r>
    </w:p>
    <w:p>
      <w:pPr>
        <w:numPr>
          <w:ilvl w:val="0"/>
          <w:numId w:val="1013"/>
        </w:numPr>
        <w:pStyle w:val="Compact"/>
      </w:pPr>
      <w:r>
        <w:t xml:space="preserve">Intentionally or negligently engaging in the following shall be deemed an administrative offense:</w:t>
      </w:r>
    </w:p>
    <w:p>
      <w:pPr>
        <w:numPr>
          <w:ilvl w:val="0"/>
          <w:numId w:val="1014"/>
        </w:numPr>
        <w:pStyle w:val="Compact"/>
      </w:pPr>
      <w:r>
        <w:t xml:space="preserve">in violation of Section 30 (1) failing to treat a request for information properly, or</w:t>
      </w:r>
    </w:p>
    <w:p>
      <w:pPr>
        <w:numPr>
          <w:ilvl w:val="0"/>
          <w:numId w:val="1014"/>
        </w:numPr>
        <w:pStyle w:val="Compact"/>
      </w:pPr>
      <w:r>
        <w:t xml:space="preserve">in violation of Section 30 (2), first sentence, failing to inform a consumer or doing so incorrectly,</w:t>
      </w:r>
      <w:r>
        <w:t xml:space="preserve"> </w:t>
      </w:r>
      <w:r>
        <w:t xml:space="preserve">incompletely or too late.</w:t>
      </w:r>
    </w:p>
    <w:p>
      <w:pPr>
        <w:numPr>
          <w:ilvl w:val="0"/>
          <w:numId w:val="1015"/>
        </w:numPr>
        <w:pStyle w:val="Compact"/>
      </w:pPr>
      <w:r>
        <w:t xml:space="preserve">An administrative offense may be punished by a fine of up to fifty thousand euros.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bookmarkEnd w:id="2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34">
    <w:nsid w:val="A99434"/>
    <w:multiLevelType w:val="multilevel"/>
    <w:lvl w:ilvl="0">
      <w:start w:val="4"/>
      <w:numFmt w:val="decimal"/>
      <w:lvlText w:val="(%1)"/>
      <w:lvlJc w:val="left"/>
      <w:pPr>
        <w:ind w:left="720" w:hanging="480"/>
      </w:pPr>
    </w:lvl>
    <w:lvl w:ilvl="1">
      <w:start w:val="4"/>
      <w:numFmt w:val="decimal"/>
      <w:lvlText w:val="(%2)"/>
      <w:lvlJc w:val="left"/>
      <w:pPr>
        <w:ind w:left="1440" w:hanging="480"/>
      </w:pPr>
    </w:lvl>
    <w:lvl w:ilvl="2">
      <w:start w:val="4"/>
      <w:numFmt w:val="decimal"/>
      <w:lvlText w:val="(%3)"/>
      <w:lvlJc w:val="left"/>
      <w:pPr>
        <w:ind w:left="2160" w:hanging="480"/>
      </w:pPr>
    </w:lvl>
    <w:lvl w:ilvl="3">
      <w:start w:val="4"/>
      <w:numFmt w:val="decimal"/>
      <w:lvlText w:val="(%4)"/>
      <w:lvlJc w:val="left"/>
      <w:pPr>
        <w:ind w:left="2880" w:hanging="480"/>
      </w:pPr>
    </w:lvl>
    <w:lvl w:ilvl="4">
      <w:start w:val="4"/>
      <w:numFmt w:val="decimal"/>
      <w:lvlText w:val="(%5)"/>
      <w:lvlJc w:val="left"/>
      <w:pPr>
        <w:ind w:left="3600" w:hanging="480"/>
      </w:pPr>
    </w:lvl>
    <w:lvl w:ilvl="5">
      <w:start w:val="4"/>
      <w:numFmt w:val="decimal"/>
      <w:lvlText w:val="(%6)"/>
      <w:lvlJc w:val="left"/>
      <w:pPr>
        <w:ind w:left="4320" w:hanging="480"/>
      </w:pPr>
    </w:lvl>
    <w:lvl w:ilvl="6">
      <w:start w:val="4"/>
      <w:numFmt w:val="decimal"/>
      <w:lvlText w:val="(%7)"/>
      <w:lvlJc w:val="left"/>
      <w:pPr>
        <w:ind w:left="5040" w:hanging="480"/>
      </w:pPr>
    </w:lvl>
    <w:lvl w:ilvl="7">
      <w:start w:val="4"/>
      <w:numFmt w:val="decimal"/>
      <w:lvlText w:val="(%8)"/>
      <w:lvlJc w:val="left"/>
      <w:pPr>
        <w:ind w:left="5760" w:hanging="480"/>
      </w:pPr>
    </w:lvl>
    <w:lvl w:ilvl="8">
      <w:start w:val="4"/>
      <w:numFmt w:val="decimal"/>
      <w:lvlText w:val="(%9)"/>
      <w:lvlJc w:val="left"/>
      <w:pPr>
        <w:ind w:left="6480" w:hanging="480"/>
      </w:pPr>
    </w:lvl>
  </w:abstractNum>
  <w:abstractNum w:abstractNumId="99435">
    <w:nsid w:val="A99435"/>
    <w:multiLevelType w:val="multilevel"/>
    <w:lvl w:ilvl="0">
      <w:start w:val="5"/>
      <w:numFmt w:val="decimal"/>
      <w:lvlText w:val="(%1)"/>
      <w:lvlJc w:val="left"/>
      <w:pPr>
        <w:ind w:left="720" w:hanging="480"/>
      </w:pPr>
    </w:lvl>
    <w:lvl w:ilvl="1">
      <w:start w:val="5"/>
      <w:numFmt w:val="decimal"/>
      <w:lvlText w:val="(%2)"/>
      <w:lvlJc w:val="left"/>
      <w:pPr>
        <w:ind w:left="1440" w:hanging="480"/>
      </w:pPr>
    </w:lvl>
    <w:lvl w:ilvl="2">
      <w:start w:val="5"/>
      <w:numFmt w:val="decimal"/>
      <w:lvlText w:val="(%3)"/>
      <w:lvlJc w:val="left"/>
      <w:pPr>
        <w:ind w:left="2160" w:hanging="480"/>
      </w:pPr>
    </w:lvl>
    <w:lvl w:ilvl="3">
      <w:start w:val="5"/>
      <w:numFmt w:val="decimal"/>
      <w:lvlText w:val="(%4)"/>
      <w:lvlJc w:val="left"/>
      <w:pPr>
        <w:ind w:left="2880" w:hanging="480"/>
      </w:pPr>
    </w:lvl>
    <w:lvl w:ilvl="4">
      <w:start w:val="5"/>
      <w:numFmt w:val="decimal"/>
      <w:lvlText w:val="(%5)"/>
      <w:lvlJc w:val="left"/>
      <w:pPr>
        <w:ind w:left="3600" w:hanging="480"/>
      </w:pPr>
    </w:lvl>
    <w:lvl w:ilvl="5">
      <w:start w:val="5"/>
      <w:numFmt w:val="decimal"/>
      <w:lvlText w:val="(%6)"/>
      <w:lvlJc w:val="left"/>
      <w:pPr>
        <w:ind w:left="4320" w:hanging="480"/>
      </w:pPr>
    </w:lvl>
    <w:lvl w:ilvl="6">
      <w:start w:val="5"/>
      <w:numFmt w:val="decimal"/>
      <w:lvlText w:val="(%7)"/>
      <w:lvlJc w:val="left"/>
      <w:pPr>
        <w:ind w:left="5040" w:hanging="480"/>
      </w:pPr>
    </w:lvl>
    <w:lvl w:ilvl="7">
      <w:start w:val="5"/>
      <w:numFmt w:val="decimal"/>
      <w:lvlText w:val="(%8)"/>
      <w:lvlJc w:val="left"/>
      <w:pPr>
        <w:ind w:left="5760" w:hanging="480"/>
      </w:pPr>
    </w:lvl>
    <w:lvl w:ilvl="8">
      <w:start w:val="5"/>
      <w:numFmt w:val="decimal"/>
      <w:lvlText w:val="(%9)"/>
      <w:lvlJc w:val="left"/>
      <w:pPr>
        <w:ind w:left="6480" w:hanging="480"/>
      </w:pPr>
    </w:lvl>
  </w:abstractNum>
  <w:abstractNum w:abstractNumId="99436">
    <w:nsid w:val="A99436"/>
    <w:multiLevelType w:val="multilevel"/>
    <w:lvl w:ilvl="0">
      <w:start w:val="6"/>
      <w:numFmt w:val="decimal"/>
      <w:lvlText w:val="(%1)"/>
      <w:lvlJc w:val="left"/>
      <w:pPr>
        <w:ind w:left="720" w:hanging="480"/>
      </w:pPr>
    </w:lvl>
    <w:lvl w:ilvl="1">
      <w:start w:val="6"/>
      <w:numFmt w:val="decimal"/>
      <w:lvlText w:val="(%2)"/>
      <w:lvlJc w:val="left"/>
      <w:pPr>
        <w:ind w:left="1440" w:hanging="480"/>
      </w:pPr>
    </w:lvl>
    <w:lvl w:ilvl="2">
      <w:start w:val="6"/>
      <w:numFmt w:val="decimal"/>
      <w:lvlText w:val="(%3)"/>
      <w:lvlJc w:val="left"/>
      <w:pPr>
        <w:ind w:left="2160" w:hanging="480"/>
      </w:pPr>
    </w:lvl>
    <w:lvl w:ilvl="3">
      <w:start w:val="6"/>
      <w:numFmt w:val="decimal"/>
      <w:lvlText w:val="(%4)"/>
      <w:lvlJc w:val="left"/>
      <w:pPr>
        <w:ind w:left="2880" w:hanging="480"/>
      </w:pPr>
    </w:lvl>
    <w:lvl w:ilvl="4">
      <w:start w:val="6"/>
      <w:numFmt w:val="decimal"/>
      <w:lvlText w:val="(%5)"/>
      <w:lvlJc w:val="left"/>
      <w:pPr>
        <w:ind w:left="3600" w:hanging="480"/>
      </w:pPr>
    </w:lvl>
    <w:lvl w:ilvl="5">
      <w:start w:val="6"/>
      <w:numFmt w:val="decimal"/>
      <w:lvlText w:val="(%6)"/>
      <w:lvlJc w:val="left"/>
      <w:pPr>
        <w:ind w:left="4320" w:hanging="480"/>
      </w:pPr>
    </w:lvl>
    <w:lvl w:ilvl="6">
      <w:start w:val="6"/>
      <w:numFmt w:val="decimal"/>
      <w:lvlText w:val="(%7)"/>
      <w:lvlJc w:val="left"/>
      <w:pPr>
        <w:ind w:left="5040" w:hanging="480"/>
      </w:pPr>
    </w:lvl>
    <w:lvl w:ilvl="7">
      <w:start w:val="6"/>
      <w:numFmt w:val="decimal"/>
      <w:lvlText w:val="(%8)"/>
      <w:lvlJc w:val="left"/>
      <w:pPr>
        <w:ind w:left="5760" w:hanging="480"/>
      </w:pPr>
    </w:lvl>
    <w:lvl w:ilvl="8">
      <w:start w:val="6"/>
      <w:numFmt w:val="decimal"/>
      <w:lvlText w:val="(%9)"/>
      <w:lvlJc w:val="left"/>
      <w:pPr>
        <w:ind w:left="6480" w:hanging="480"/>
      </w:pPr>
    </w:lvl>
  </w:abstractNum>
  <w:abstractNum w:abstractNumId="99431">
    <w:nsid w:val="A99431"/>
    <w:multiLevelType w:val="multilevel"/>
    <w:lvl w:ilvl="0">
      <w:start w:val="1"/>
      <w:numFmt w:val="decimal"/>
      <w:lvlText w:val="(%1)"/>
      <w:lvlJc w:val="left"/>
      <w:pPr>
        <w:ind w:left="720" w:hanging="480"/>
      </w:pPr>
    </w:lvl>
    <w:lvl w:ilvl="1">
      <w:start w:val="1"/>
      <w:numFmt w:val="decimal"/>
      <w:lvlText w:val="(%2)"/>
      <w:lvlJc w:val="left"/>
      <w:pPr>
        <w:ind w:left="1440" w:hanging="480"/>
      </w:pPr>
    </w:lvl>
    <w:lvl w:ilvl="2">
      <w:start w:val="1"/>
      <w:numFmt w:val="decimal"/>
      <w:lvlText w:val="(%3)"/>
      <w:lvlJc w:val="left"/>
      <w:pPr>
        <w:ind w:left="2160" w:hanging="480"/>
      </w:pPr>
    </w:lvl>
    <w:lvl w:ilvl="3">
      <w:start w:val="1"/>
      <w:numFmt w:val="decimal"/>
      <w:lvlText w:val="(%4)"/>
      <w:lvlJc w:val="left"/>
      <w:pPr>
        <w:ind w:left="2880" w:hanging="480"/>
      </w:pPr>
    </w:lvl>
    <w:lvl w:ilvl="4">
      <w:start w:val="1"/>
      <w:numFmt w:val="decimal"/>
      <w:lvlText w:val="(%5)"/>
      <w:lvlJc w:val="left"/>
      <w:pPr>
        <w:ind w:left="3600" w:hanging="480"/>
      </w:pPr>
    </w:lvl>
    <w:lvl w:ilvl="5">
      <w:start w:val="1"/>
      <w:numFmt w:val="decimal"/>
      <w:lvlText w:val="(%6)"/>
      <w:lvlJc w:val="left"/>
      <w:pPr>
        <w:ind w:left="4320" w:hanging="480"/>
      </w:pPr>
    </w:lvl>
    <w:lvl w:ilvl="6">
      <w:start w:val="1"/>
      <w:numFmt w:val="decimal"/>
      <w:lvlText w:val="(%7)"/>
      <w:lvlJc w:val="left"/>
      <w:pPr>
        <w:ind w:left="5040" w:hanging="480"/>
      </w:pPr>
    </w:lvl>
    <w:lvl w:ilvl="7">
      <w:start w:val="1"/>
      <w:numFmt w:val="decimal"/>
      <w:lvlText w:val="(%8)"/>
      <w:lvlJc w:val="left"/>
      <w:pPr>
        <w:ind w:left="5760" w:hanging="480"/>
      </w:pPr>
    </w:lvl>
    <w:lvl w:ilvl="8">
      <w:start w:val="1"/>
      <w:numFmt w:val="decimal"/>
      <w:lvlText w:val="(%9)"/>
      <w:lvlJc w:val="left"/>
      <w:pPr>
        <w:ind w:left="6480" w:hanging="480"/>
      </w:pPr>
    </w:lvl>
  </w:abstractNum>
  <w:abstractNum w:abstractNumId="99432">
    <w:nsid w:val="A99432"/>
    <w:multiLevelType w:val="multilevel"/>
    <w:lvl w:ilvl="0">
      <w:start w:val="2"/>
      <w:numFmt w:val="decimal"/>
      <w:lvlText w:val="(%1)"/>
      <w:lvlJc w:val="left"/>
      <w:pPr>
        <w:ind w:left="720" w:hanging="480"/>
      </w:pPr>
    </w:lvl>
    <w:lvl w:ilvl="1">
      <w:start w:val="2"/>
      <w:numFmt w:val="decimal"/>
      <w:lvlText w:val="(%2)"/>
      <w:lvlJc w:val="left"/>
      <w:pPr>
        <w:ind w:left="1440" w:hanging="480"/>
      </w:pPr>
    </w:lvl>
    <w:lvl w:ilvl="2">
      <w:start w:val="2"/>
      <w:numFmt w:val="decimal"/>
      <w:lvlText w:val="(%3)"/>
      <w:lvlJc w:val="left"/>
      <w:pPr>
        <w:ind w:left="2160" w:hanging="480"/>
      </w:pPr>
    </w:lvl>
    <w:lvl w:ilvl="3">
      <w:start w:val="2"/>
      <w:numFmt w:val="decimal"/>
      <w:lvlText w:val="(%4)"/>
      <w:lvlJc w:val="left"/>
      <w:pPr>
        <w:ind w:left="2880" w:hanging="480"/>
      </w:pPr>
    </w:lvl>
    <w:lvl w:ilvl="4">
      <w:start w:val="2"/>
      <w:numFmt w:val="decimal"/>
      <w:lvlText w:val="(%5)"/>
      <w:lvlJc w:val="left"/>
      <w:pPr>
        <w:ind w:left="3600" w:hanging="480"/>
      </w:pPr>
    </w:lvl>
    <w:lvl w:ilvl="5">
      <w:start w:val="2"/>
      <w:numFmt w:val="decimal"/>
      <w:lvlText w:val="(%6)"/>
      <w:lvlJc w:val="left"/>
      <w:pPr>
        <w:ind w:left="4320" w:hanging="480"/>
      </w:pPr>
    </w:lvl>
    <w:lvl w:ilvl="6">
      <w:start w:val="2"/>
      <w:numFmt w:val="decimal"/>
      <w:lvlText w:val="(%7)"/>
      <w:lvlJc w:val="left"/>
      <w:pPr>
        <w:ind w:left="5040" w:hanging="480"/>
      </w:pPr>
    </w:lvl>
    <w:lvl w:ilvl="7">
      <w:start w:val="2"/>
      <w:numFmt w:val="decimal"/>
      <w:lvlText w:val="(%8)"/>
      <w:lvlJc w:val="left"/>
      <w:pPr>
        <w:ind w:left="5760" w:hanging="480"/>
      </w:pPr>
    </w:lvl>
    <w:lvl w:ilvl="8">
      <w:start w:val="2"/>
      <w:numFmt w:val="decimal"/>
      <w:lvlText w:val="(%9)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43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0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43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00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43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009">
    <w:abstractNumId w:val="99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43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1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43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2024-04-25T13:02:09Z</dcterms:created>
  <dcterms:modified xsi:type="dcterms:W3CDTF">2024-04-25T13:02:09Z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