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5" w:name="list-of-data-processing-activities"/>
    <w:p>
      <w:pPr>
        <w:pStyle w:val="Heading1"/>
      </w:pPr>
      <w:r>
        <w:t xml:space="preserve">List of Data Processing Activities</w:t>
      </w:r>
    </w:p>
    <w:p>
      <w:pPr>
        <w:pStyle w:val="BlockText"/>
      </w:pPr>
      <w:r>
        <w:t xml:space="preserve">This template is supposed to give you an idea of the structure. Don’t use word - this is thought as an excel</w:t>
      </w:r>
      <w:r>
        <w:t xml:space="preserve"> </w:t>
      </w:r>
      <w:r>
        <w:t xml:space="preserve">/ sheets file. Think of the sub-sections below as different tabs in your excel sheet.</w:t>
      </w:r>
    </w:p>
    <w:p>
      <w:pPr>
        <w:pStyle w:val="BlockText"/>
      </w:pPr>
      <w:r>
        <w:t xml:space="preserve">Disclaimer: data privacy documentation should usually be written in the official language of your EU member</w:t>
      </w:r>
      <w:r>
        <w:t xml:space="preserve"> </w:t>
      </w:r>
      <w:r>
        <w:t xml:space="preserve">state. Most likely, you should translate this template accordingly. In German, people refer to this</w:t>
      </w:r>
      <w:r>
        <w:t xml:space="preserve"> </w:t>
      </w:r>
      <w:r>
        <w:t xml:space="preserve">typically as the</w:t>
      </w:r>
      <w:r>
        <w:t xml:space="preserve"> </w:t>
      </w:r>
      <w:r>
        <w:t xml:space="preserve">‘</w:t>
      </w:r>
      <w:r>
        <w:t xml:space="preserve">Verzeichnis der Verarbeitungstätigkeiten</w:t>
      </w:r>
      <w:r>
        <w:t xml:space="preserve">’</w:t>
      </w:r>
      <w:r>
        <w:t xml:space="preserve">…</w:t>
      </w:r>
    </w:p>
    <w:bookmarkStart w:id="20" w:name="data-processing-activities"/>
    <w:p>
      <w:pPr>
        <w:pStyle w:val="Heading2"/>
      </w:pPr>
      <w:r>
        <w:t xml:space="preserve">Data Processing Activities</w:t>
      </w:r>
    </w:p>
    <w:p>
      <w:pPr>
        <w:pStyle w:val="BlockText"/>
      </w:pPr>
      <w:r>
        <w:t xml:space="preserve">Note that this tab should exist twice: one time for internal processing activities and one time for external</w:t>
      </w:r>
      <w:r>
        <w:t xml:space="preserve"> </w:t>
      </w:r>
      <w:r>
        <w:t xml:space="preserve">ones.</w:t>
      </w:r>
      <w:r>
        <w:t xml:space="preserve"> </w:t>
      </w:r>
      <w:r>
        <w:rPr>
          <w:iCs/>
          <w:i/>
        </w:rPr>
        <w:t xml:space="preserve">Internal</w:t>
      </w:r>
      <w:r>
        <w:t xml:space="preserve"> </w:t>
      </w:r>
      <w:r>
        <w:t xml:space="preserve">processing refers to your internal data that third parties may process on your behalf (for</w:t>
      </w:r>
      <w:r>
        <w:t xml:space="preserve"> </w:t>
      </w:r>
      <w:r>
        <w:t xml:space="preserve">example: your tax accountant, your cloud provider, providers of all the tools you use in your</w:t>
      </w:r>
      <w:r>
        <w:t xml:space="preserve"> </w:t>
      </w:r>
      <w:r>
        <w:t xml:space="preserve">company).</w:t>
      </w:r>
      <w:r>
        <w:t xml:space="preserve"> </w:t>
      </w:r>
      <w:r>
        <w:rPr>
          <w:iCs/>
          <w:i/>
        </w:rPr>
        <w:t xml:space="preserve">External</w:t>
      </w:r>
      <w:r>
        <w:t xml:space="preserve"> </w:t>
      </w:r>
      <w:r>
        <w:t xml:space="preserve">processing refers to data of third parties that you process on their behalf (for</w:t>
      </w:r>
      <w:r>
        <w:t xml:space="preserve"> </w:t>
      </w:r>
      <w:r>
        <w:t xml:space="preserve">example: customer data that is transferred to your servers to be analyzed by your brand-new AI algorithm).</w:t>
      </w:r>
    </w:p>
    <w:p>
      <w:pPr>
        <w:pStyle w:val="FirstParagraph"/>
      </w:pPr>
      <w:r>
        <w:rPr>
          <w:bCs/>
          <w:b/>
          <w:iCs/>
          <w:i/>
        </w:rPr>
        <w:t xml:space="preserve">Categories:</w:t>
      </w:r>
      <w:r>
        <w:rPr>
          <w:iCs/>
          <w:i/>
        </w:rPr>
        <w:t xml:space="preserve"> </w:t>
      </w:r>
      <w:r>
        <w:rPr>
          <w:iCs/>
          <w:i/>
        </w:rPr>
        <w:t xml:space="preserve">ID - Controller - Controller Address - Controller Contact Details - Legal Basis - Processing</w:t>
      </w:r>
      <w:r>
        <w:rPr>
          <w:iCs/>
          <w:i/>
        </w:rPr>
        <w:t xml:space="preserve"> </w:t>
      </w:r>
      <w:r>
        <w:rPr>
          <w:iCs/>
          <w:i/>
        </w:rPr>
        <w:t xml:space="preserve">Purpose - Category of Data - Data Subjects - Start Date of Processing - End Date of Processing - Processor -</w:t>
      </w:r>
      <w:r>
        <w:rPr>
          <w:iCs/>
          <w:i/>
        </w:rPr>
        <w:t xml:space="preserve"> </w:t>
      </w:r>
      <w:r>
        <w:rPr>
          <w:iCs/>
          <w:i/>
        </w:rPr>
        <w:t xml:space="preserve">Processor Address - Processor Contact Details - Legal Basis - Threshold Analysis - DPIA - Description of</w:t>
      </w:r>
      <w:r>
        <w:rPr>
          <w:iCs/>
          <w:i/>
        </w:rPr>
        <w:t xml:space="preserve"> </w:t>
      </w:r>
      <w:r>
        <w:rPr>
          <w:iCs/>
          <w:i/>
        </w:rPr>
        <w:t xml:space="preserve">TOMs - Deletion Period - Transfer to Third Countries - Safeguards - Commentary</w:t>
      </w:r>
    </w:p>
    <w:p>
      <w:pPr>
        <w:pStyle w:val="BlockText"/>
      </w:pPr>
      <w:r>
        <w:t xml:space="preserve">Consider that you will have a ton more data processing activities than categories. Write your categories as</w:t>
      </w:r>
      <w:r>
        <w:t xml:space="preserve"> </w:t>
      </w:r>
      <w:r>
        <w:t xml:space="preserve">columns and processing activities as rows (the table in this template is transposed (rows and columns</w:t>
      </w:r>
      <w:r>
        <w:t xml:space="preserve"> </w:t>
      </w:r>
      <w:r>
        <w:t xml:space="preserve">flipped) due to formatting reasons).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430"/>
        <w:gridCol w:w="3848"/>
        <w:gridCol w:w="1887"/>
        <w:gridCol w:w="1649"/>
        <w:gridCol w:w="10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Categories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Data Processing Example #1: Processing of Health Data by a Cloud Provider (Internal)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Data Processing Example #2: Processing of Applicant Data by a Software Tool Provider (Internal)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Data Processing Example #3: Processing of Health Data by Your Company as Clinical Decision-Support (External)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Controller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Example GmbH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Example GmbH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Berlin-Based Example Customer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Controller Address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Example Street 123</w:t>
            </w:r>
            <w:r>
              <w:t xml:space="preserve">10000 Berlin</w:t>
            </w:r>
            <w:r>
              <w:t xml:space="preserve">Germany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Example Street 123</w:t>
            </w:r>
            <w:r>
              <w:t xml:space="preserve">10000 Berlin</w:t>
            </w:r>
            <w:r>
              <w:t xml:space="preserve">Germany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Controller Contact Details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John Doe</w:t>
            </w:r>
            <w:r>
              <w:t xml:space="preserve">john.doe@example.com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John Doe</w:t>
            </w:r>
            <w:r>
              <w:t xml:space="preserve">john.doe@example.com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Legal Basis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Commissioned Data Processing</w:t>
            </w:r>
            <w:r>
              <w:t xml:space="preserve">(Art. 6 Sect. 1 lit. b) GDPR)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Pre-Contractual Measures</w:t>
            </w:r>
            <w:r>
              <w:t xml:space="preserve">(Art. 6 Sect. 1 lit. b) GDPR)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Commissioned Data Processing</w:t>
            </w:r>
            <w:r>
              <w:t xml:space="preserve">(Art. 6 Sect. 1 lit. b) GDPR)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Processing Purpose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Provision of Cloud Services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 of Applicant Data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Provision of Decision-Support for Clinical Diagnoses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Category of Data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Patient Data (e.g. DICOM image data and clinical information)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Applicant Data (e.g. CV, cover letter, reference documents)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Patient Data (e.g. DICOM image data and clinical information)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Data Subjects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Patients that undergo CT lung cancer screening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Applicants to Example GmbH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Patients that undergo CT lung cancer screening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Start Date of Processing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01.08.2021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01.01.2021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01.08.2021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End Date of Processing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N/A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N/A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N/A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Processor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Berlin-Based Example Cloud Provider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California-Based Example Software Provider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Example GmbH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Processor Address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Example Street 123</w:t>
            </w:r>
            <w:r>
              <w:t xml:space="preserve">10000 Berlin</w:t>
            </w:r>
            <w:r>
              <w:t xml:space="preserve">Germany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Processor Contact Details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John Doe</w:t>
            </w:r>
            <w:r>
              <w:t xml:space="preserve">john.doe@example.com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Legal Basis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Commissioned Data Processing (Art. 6 Sect. 1 lit. b) GDPR)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Commissioned Data Processing (Art. 6 Sect. 1 lit. b) GDPR)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Commissioned Data Processing (Art. 6 Sect. 1 lit. b) GDPR)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Threshold Analysis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N/A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DPIA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N/A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N/A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N/A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Description of TOMs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Entry Control: locked building, documented key assignment (..)</w:t>
            </w:r>
            <w:r>
              <w:t xml:space="preserve">Access Control: central password authentication incl. 2FA (…)</w:t>
            </w:r>
            <w:r>
              <w:t xml:space="preserve">Usage Control: role-based authorization (…)</w:t>
            </w:r>
            <w:r>
              <w:t xml:space="preserve">Availability: uninterrupted power supply, continuous backups (…)</w:t>
            </w: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Deletion Period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 days after data ingestion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 months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30 days after data ingestion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Transfer to Third Countries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United States of America (USA)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Safeguards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N/A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EU Model Contract Clauses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N/A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Note that after ECJ Schrems II ruling, model contract clauses alone are not sufficient to safeguard data transfer to the U.S.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0"/>
    <w:bookmarkStart w:id="21" w:name="X3a637821c61b510153efad7f0941940271958c1"/>
    <w:p>
      <w:pPr>
        <w:pStyle w:val="Heading2"/>
      </w:pPr>
      <w:r>
        <w:t xml:space="preserve">Threshold Analysis and Data Protection Impact Assessment</w:t>
      </w:r>
    </w:p>
    <w:p>
      <w:pPr>
        <w:pStyle w:val="BlockText"/>
      </w:pPr>
      <w:r>
        <w:t xml:space="preserve">Note that it is the responsibility of the controller to carry out a DPIA (Art. 35 GDPR)</w:t>
      </w:r>
    </w:p>
    <w:p>
      <w:pPr>
        <w:pStyle w:val="BlockText"/>
      </w:pPr>
      <w:r>
        <w:t xml:space="preserve">Optionally, you can split this section into two separate tabs.</w:t>
      </w:r>
    </w:p>
    <w:p>
      <w:pPr>
        <w:pStyle w:val="BlockText"/>
      </w:pPr>
      <w:r>
        <w:t xml:space="preserve">Reasoning: whenever a risk is deemed acceptable in a previous section, the documentation ends right</w:t>
      </w:r>
      <w:r>
        <w:t xml:space="preserve"> </w:t>
      </w:r>
      <w:r>
        <w:t xml:space="preserve">there. For example, if the overall severity and probability of a risk are deemed acceptable, you don’t have</w:t>
      </w:r>
      <w:r>
        <w:t xml:space="preserve"> </w:t>
      </w:r>
      <w:r>
        <w:t xml:space="preserve">to dive into further evaluation criteria of the next section or let alone start the DPIA for this</w:t>
      </w:r>
      <w:r>
        <w:t xml:space="preserve"> </w:t>
      </w:r>
      <w:r>
        <w:t xml:space="preserve">risk. Sections are shown in the text below in brackets - use different formatting when you adopt this</w:t>
      </w:r>
      <w:r>
        <w:t xml:space="preserve"> </w:t>
      </w:r>
      <w:r>
        <w:t xml:space="preserve">template).</w:t>
      </w:r>
    </w:p>
    <w:p>
      <w:pPr>
        <w:pStyle w:val="BlockText"/>
      </w:pPr>
      <w:r>
        <w:t xml:space="preserve">As part of your DPIA, you typically analyze several risk causes. More risk examples are listed in the risk</w:t>
      </w:r>
      <w:r>
        <w:t xml:space="preserve"> </w:t>
      </w:r>
      <w:r>
        <w:t xml:space="preserve">methodology section.</w:t>
      </w:r>
    </w:p>
    <w:p>
      <w:pPr>
        <w:pStyle w:val="FirstParagraph"/>
      </w:pPr>
      <w:r>
        <w:rPr>
          <w:bCs/>
          <w:b/>
        </w:rPr>
        <w:t xml:space="preserve">Categories TA:</w:t>
      </w:r>
      <w:r>
        <w:t xml:space="preserve"> </w:t>
      </w:r>
      <w:r>
        <w:rPr>
          <w:iCs/>
          <w:i/>
        </w:rPr>
        <w:t xml:space="preserve">(Risk Identification) - Processor - Processing Purpose - Risk Cause - Risk Description -</w:t>
      </w:r>
      <w:r>
        <w:rPr>
          <w:iCs/>
          <w:i/>
        </w:rPr>
        <w:t xml:space="preserve"> </w:t>
      </w:r>
      <w:r>
        <w:rPr>
          <w:iCs/>
          <w:i/>
        </w:rPr>
        <w:t xml:space="preserve">(Initial Risk Assessment) - Severity - Probability - Assessment - (Further Evaluation Criteria: Special</w:t>
      </w:r>
      <w:r>
        <w:rPr>
          <w:iCs/>
          <w:i/>
        </w:rPr>
        <w:t xml:space="preserve"> </w:t>
      </w:r>
      <w:r>
        <w:rPr>
          <w:iCs/>
          <w:i/>
        </w:rPr>
        <w:t xml:space="preserve">Processing) - Processing large quantities of personal data - Processing affects a large number of people - Use</w:t>
      </w:r>
      <w:r>
        <w:rPr>
          <w:iCs/>
          <w:i/>
        </w:rPr>
        <w:t xml:space="preserve"> </w:t>
      </w:r>
      <w:r>
        <w:rPr>
          <w:iCs/>
          <w:i/>
        </w:rPr>
        <w:t xml:space="preserve">of new technologies - Processing hampers the exertion of data subject rights - Processing hampers the use of</w:t>
      </w:r>
      <w:r>
        <w:rPr>
          <w:iCs/>
          <w:i/>
        </w:rPr>
        <w:t xml:space="preserve"> </w:t>
      </w:r>
      <w:r>
        <w:rPr>
          <w:iCs/>
          <w:i/>
        </w:rPr>
        <w:t xml:space="preserve">services or exertion of contracts for data subjects - Processing of data of vulnerable persons - (Further</w:t>
      </w:r>
      <w:r>
        <w:rPr>
          <w:iCs/>
          <w:i/>
        </w:rPr>
        <w:t xml:space="preserve"> </w:t>
      </w:r>
      <w:r>
        <w:rPr>
          <w:iCs/>
          <w:i/>
        </w:rPr>
        <w:t xml:space="preserve">Evaluation Criteria: Automated Decision-Making) - By systematic assessment of personal characteristics based</w:t>
      </w:r>
      <w:r>
        <w:rPr>
          <w:iCs/>
          <w:i/>
        </w:rPr>
        <w:t xml:space="preserve"> </w:t>
      </w:r>
      <w:r>
        <w:rPr>
          <w:iCs/>
          <w:i/>
        </w:rPr>
        <w:t xml:space="preserve">on profiling - By processing special categories of personal data - (Responsible data protection authority</w:t>
      </w:r>
      <w:r>
        <w:rPr>
          <w:iCs/>
          <w:i/>
        </w:rPr>
        <w:t xml:space="preserve"> </w:t>
      </w:r>
      <w:r>
        <w:rPr>
          <w:iCs/>
          <w:i/>
        </w:rPr>
        <w:t xml:space="preserve">deemed processing high-risk)</w:t>
      </w:r>
    </w:p>
    <w:p>
      <w:pPr>
        <w:pStyle w:val="BodyText"/>
      </w:pPr>
      <w:r>
        <w:rPr>
          <w:bCs/>
          <w:b/>
        </w:rPr>
        <w:t xml:space="preserve">Categories DPIA:</w:t>
      </w:r>
      <w:r>
        <w:t xml:space="preserve"> </w:t>
      </w:r>
      <w:r>
        <w:rPr>
          <w:iCs/>
          <w:i/>
        </w:rPr>
        <w:t xml:space="preserve">Planned additional measures - (Re-Evaluation) - Severity after measures - Probability</w:t>
      </w:r>
      <w:r>
        <w:rPr>
          <w:iCs/>
          <w:i/>
        </w:rPr>
        <w:t xml:space="preserve"> </w:t>
      </w:r>
      <w:r>
        <w:rPr>
          <w:iCs/>
          <w:i/>
        </w:rPr>
        <w:t xml:space="preserve">after measures - New assessment - (Implementation) - Responsible - Status - Date of Implementation -</w:t>
      </w:r>
      <w:r>
        <w:rPr>
          <w:iCs/>
          <w:i/>
        </w:rPr>
        <w:t xml:space="preserve"> </w:t>
      </w:r>
      <w:r>
        <w:rPr>
          <w:iCs/>
          <w:i/>
        </w:rPr>
        <w:t xml:space="preserve">Notification of Authorities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2306"/>
        <w:gridCol w:w="2723"/>
        <w:gridCol w:w="2695"/>
        <w:gridCol w:w="19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Categories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Data Processing Example #1: Processing of Health Data by a Cloud Provider (Internal)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Data Processing Example #2: Processing of Applicant Data by a Software Tool Provider (Internal)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iCs/>
                <w:i/>
                <w:bCs/>
                <w:b/>
              </w:rPr>
              <w:t xml:space="preserve">Threshold Analysis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iCs/>
                <w:i/>
                <w:bCs/>
                <w:b/>
              </w:rPr>
              <w:t xml:space="preserve">Risk Identification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Processor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Berlin-Based Example Cloud Provider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California-Based Example Software Provider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Processing Purpose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Provision of Cloud Services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 of Applicant Data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Risk Cause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Unauthorized access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Unauthorized access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Risk Description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Sensitive patient data could be identified by third-parties, leading to a risk of identity theft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Applicant data could be identified by third-parties, leading to a risk of identity theft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iCs/>
                <w:i/>
                <w:bCs/>
                <w:b/>
              </w:rPr>
              <w:t xml:space="preserve">Initial Risk Assessment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Severity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Assessment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Unacceptable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Acceptable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iCs/>
                <w:i/>
                <w:bCs/>
                <w:b/>
              </w:rPr>
              <w:t xml:space="preserve">Further Criteria: Special Processing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Processing large quantities of personal data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Processing affects large numbers of people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Use of new technologies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Processing hampers the exertion of data subject rights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Processing hampers the use of services or exertion of contracts for data subjects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Processing of data of vulnerable persons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iCs/>
                <w:i/>
                <w:bCs/>
                <w:b/>
              </w:rPr>
              <w:t xml:space="preserve">Further Criteria: Automated Decision-Making (ADM)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ADM by systematic assessment of personal characteristics based on profiling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ADM by processing special categories of personal data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Responsible Data Protection Authority deems processing high-risk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iCs/>
                <w:i/>
                <w:bCs/>
                <w:b/>
              </w:rPr>
              <w:t xml:space="preserve">Data Protection Impact Assessment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Planned additional measures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iCs/>
                <w:i/>
                <w:bCs/>
                <w:b/>
              </w:rPr>
              <w:t xml:space="preserve">Re-Evaluation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Severity after measures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Probability after measures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New assessment after measures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iCs/>
                <w:i/>
                <w:bCs/>
                <w:b/>
              </w:rPr>
              <w:t xml:space="preserve">Implementation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Responsible Role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Status of Implementation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Date of Implementation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Notification to Authorities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1"/>
    <w:bookmarkStart w:id="24" w:name="risk-methodology"/>
    <w:p>
      <w:pPr>
        <w:pStyle w:val="Heading2"/>
      </w:pPr>
      <w:r>
        <w:t xml:space="preserve">Risk Methodology</w:t>
      </w:r>
    </w:p>
    <w:p>
      <w:pPr>
        <w:pStyle w:val="BlockText"/>
      </w:pPr>
      <w:r>
        <w:t xml:space="preserve">This field should provide the taxonomy and an overview of the possible categories of content entered in the</w:t>
      </w:r>
      <w:r>
        <w:t xml:space="preserve"> </w:t>
      </w:r>
      <w:r>
        <w:t xml:space="preserve">previous tabs.</w:t>
      </w:r>
    </w:p>
    <w:p>
      <w:pPr>
        <w:pStyle w:val="FirstParagraph"/>
      </w:pPr>
      <w:r>
        <w:rPr>
          <w:bCs/>
          <w:b/>
        </w:rPr>
        <w:t xml:space="preserve">Possible categories of risk:</w:t>
      </w:r>
    </w:p>
    <w:p>
      <w:pPr>
        <w:numPr>
          <w:ilvl w:val="0"/>
          <w:numId w:val="1001"/>
        </w:numPr>
        <w:pStyle w:val="Compact"/>
      </w:pPr>
      <w:r>
        <w:t xml:space="preserve">Data loss (availability)</w:t>
      </w:r>
    </w:p>
    <w:p>
      <w:pPr>
        <w:numPr>
          <w:ilvl w:val="0"/>
          <w:numId w:val="1001"/>
        </w:numPr>
        <w:pStyle w:val="Compact"/>
      </w:pPr>
      <w:r>
        <w:t xml:space="preserve">Unauthorized access (confidentiality)</w:t>
      </w:r>
    </w:p>
    <w:p>
      <w:pPr>
        <w:numPr>
          <w:ilvl w:val="0"/>
          <w:numId w:val="1001"/>
        </w:numPr>
        <w:pStyle w:val="Compact"/>
      </w:pPr>
      <w:r>
        <w:t xml:space="preserve">Unauthorized modification (integrity)</w:t>
      </w:r>
    </w:p>
    <w:p>
      <w:pPr>
        <w:numPr>
          <w:ilvl w:val="0"/>
          <w:numId w:val="1001"/>
        </w:numPr>
        <w:pStyle w:val="Compact"/>
      </w:pPr>
      <w:r>
        <w:t xml:space="preserve">Non-compliance (e.g. not deleting data)</w:t>
      </w:r>
    </w:p>
    <w:p>
      <w:pPr>
        <w:pStyle w:val="FirstParagraph"/>
      </w:pPr>
      <w:r>
        <w:rPr>
          <w:bCs/>
          <w:b/>
        </w:rPr>
        <w:t xml:space="preserve">Categories of data processed by the company:</w:t>
      </w:r>
    </w:p>
    <w:p>
      <w:pPr>
        <w:numPr>
          <w:ilvl w:val="0"/>
          <w:numId w:val="1002"/>
        </w:numPr>
        <w:pStyle w:val="Compact"/>
      </w:pPr>
      <w:r>
        <w:t xml:space="preserve">Employee data</w:t>
      </w:r>
    </w:p>
    <w:p>
      <w:pPr>
        <w:numPr>
          <w:ilvl w:val="0"/>
          <w:numId w:val="1002"/>
        </w:numPr>
        <w:pStyle w:val="Compact"/>
      </w:pPr>
      <w:r>
        <w:t xml:space="preserve">Customer data (of commercial partners)</w:t>
      </w:r>
    </w:p>
    <w:p>
      <w:pPr>
        <w:numPr>
          <w:ilvl w:val="0"/>
          <w:numId w:val="1002"/>
        </w:numPr>
        <w:pStyle w:val="Compact"/>
      </w:pPr>
      <w:r>
        <w:t xml:space="preserve">User data (of employees of partners)</w:t>
      </w:r>
    </w:p>
    <w:p>
      <w:pPr>
        <w:numPr>
          <w:ilvl w:val="0"/>
          <w:numId w:val="1002"/>
        </w:numPr>
        <w:pStyle w:val="Compact"/>
      </w:pPr>
      <w:r>
        <w:t xml:space="preserve">Patient data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528"/>
        <w:gridCol w:w="3352"/>
        <w:gridCol w:w="1108"/>
        <w:gridCol w:w="422"/>
        <w:gridCol w:w="396"/>
        <w:gridCol w:w="2112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Degree of Severity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Social Damage (e.g. discrimination, loss of reputation)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Financial Damage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Identity theft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Mortal Danger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Disclosure of Secrets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S1: 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 or minor societal or economical disadvantages in daily life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 the scope of a one month salary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S2: Rather 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Societal or economical disadvantages can be noticed and lead to minor restrictions in daily life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 the scope of several months of salary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S3: Rather 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Implications for an entire part of daily life for a person affected (e.g. work place / professional environment)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 the scope an annual salary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Disclosure of secrets has implications for a part of life of a person affected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S4: 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Major disadvantages for an affected person across all fields of life (e.g. job loss or implications for personal surrounding)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Loss of all financial means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Identity theft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Mortal danger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Geheimnisoffenbarung hat Auswirkungen auf das gesamte Leben des Betroffenen.</w:t>
            </w:r>
          </w:p>
        </w:tc>
      </w:tr>
    </w:tbl>
    <w:p/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683"/>
        <w:gridCol w:w="2993"/>
        <w:gridCol w:w="3242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Probability of Occurrence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Future Estimate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Past Estimate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P1: Never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Event is unimaginable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Event has never occurred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P2: Seldom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Event may on average occur once every 10 years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Event has never occurred or more than 10 years ago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P3: Rather unlikely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Event may on average occur every 5-10 years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Event has occurred in the last 5-10 years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P4: Rather likely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Event may on average occur every 1-5 years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Event has occurred in the last 1-5 years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P5: Frequently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Event occurs at least once per year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Event has occurred in the last year</w:t>
            </w:r>
          </w:p>
        </w:tc>
      </w:tr>
    </w:tbl>
    <w:p>
      <w:pPr>
        <w:pStyle w:val="BlockText"/>
      </w:pPr>
      <w:r>
        <w:t xml:space="preserve">Note: fields that are marked red symbolize a combined severity and probability that is unacceptable, yellow fields are acceptable.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1980"/>
        <w:gridCol w:w="1414"/>
        <w:gridCol w:w="1508"/>
        <w:gridCol w:w="1602"/>
        <w:gridCol w:w="141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S1: 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S2: Rather 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S3: Rather High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S4: High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P5: Frequently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S1P5 (yellow)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S2P5 (red)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S3P5 (red)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S4P5 (red)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P4: Rather likely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S1P4 (yellow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S2P4 (red)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S3P4 (red)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S4P4 (red)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P3: Rather unlikely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S1P3 (yellow)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S2P3 (yellow)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S3P3 (red)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S3P3 (red)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P2: Seldom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S1P2 (yellow)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S2P2 (yellow)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S3P2 (yellow)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S4P2 (red)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P1: Never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S1P1 (yellow)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S2P1 (yellow)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S3P1 (yellow)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S4P1 (yellow)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2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3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4"/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2" Target="https://openregulatory.com" TargetMode="External" /><Relationship Type="http://schemas.openxmlformats.org/officeDocument/2006/relationships/hyperlink" Id="rId23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2" Target="https://openregulatory.com" TargetMode="External" /><Relationship Type="http://schemas.openxmlformats.org/officeDocument/2006/relationships/hyperlink" Id="rId23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2024-04-23T07:25:55Z</dcterms:created>
  <dcterms:modified xsi:type="dcterms:W3CDTF">2024-04-23T07:25:55Z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