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42" w:name="essential-requirements-mdd-9342eec"/>
    <w:p>
      <w:pPr>
        <w:pStyle w:val="Heading1"/>
      </w:pPr>
      <w:r>
        <w:t xml:space="preserve">Essential Requirements MDD (93/42/EEC)</w:t>
      </w:r>
    </w:p>
    <w:p>
      <w:pPr>
        <w:pStyle w:val="BlockText"/>
      </w:pPr>
      <w:r>
        <w:t xml:space="preserve">This document goes through all essential requirements as listed in Annex I of the MDD. Please don’t get</w:t>
      </w:r>
      <w:r>
        <w:t xml:space="preserve"> </w:t>
      </w:r>
      <w:r>
        <w:t xml:space="preserve">confused: Contrary to all other templates here, quoted regions below (like this one) don’t contain</w:t>
      </w:r>
      <w:r>
        <w:t xml:space="preserve"> </w:t>
      </w:r>
      <w:r>
        <w:t xml:space="preserve">explanations (like this one), but instead actually quote the relevant section of the MDD. So, the legalese</w:t>
      </w:r>
      <w:r>
        <w:t xml:space="preserve"> </w:t>
      </w:r>
      <w:r>
        <w:t xml:space="preserve">below is not me explaining stuff to you - it’s the MDD.</w:t>
      </w:r>
    </w:p>
    <w:p>
      <w:pPr>
        <w:pStyle w:val="BlockText"/>
      </w:pPr>
      <w:r>
        <w:t xml:space="preserve">Underneath each requirement, you determine whether it’s applicable to your product. I’ve pre-filled it,</w:t>
      </w:r>
      <w:r>
        <w:t xml:space="preserve"> </w:t>
      </w:r>
      <w:r>
        <w:t xml:space="preserve">making a few assumptions for software. But you should definitely go through all of them, just to make sure,</w:t>
      </w:r>
      <w:r>
        <w:t xml:space="preserve"> </w:t>
      </w:r>
      <w:r>
        <w:t xml:space="preserve">e.g., 10 (do you have a measuring function?) and 12.4 (are you monitoring clinical parameters of</w:t>
      </w:r>
      <w:r>
        <w:t xml:space="preserve"> </w:t>
      </w:r>
      <w:r>
        <w:t xml:space="preserve">patients?). Good luck.</w:t>
      </w:r>
    </w:p>
    <w:bookmarkStart w:id="20" w:name="section"/>
    <w:p>
      <w:pPr>
        <w:pStyle w:val="Heading2"/>
      </w:pPr>
      <w:r>
        <w:t xml:space="preserve">1</w:t>
      </w:r>
    </w:p>
    <w:p>
      <w:pPr>
        <w:pStyle w:val="BlockText"/>
      </w:pPr>
      <w:r>
        <w:t xml:space="preserve">The devices must be designed and manufactured in such a way that, when used under the conditions and for the</w:t>
      </w:r>
      <w:r>
        <w:t xml:space="preserve"> </w:t>
      </w:r>
      <w:r>
        <w:t xml:space="preserve">purposes intended, they will not compromise the clinical condition or the safety of patients, or the safety</w:t>
      </w:r>
      <w:r>
        <w:t xml:space="preserve"> </w:t>
      </w:r>
      <w:r>
        <w:t xml:space="preserve">and health of users or, where applicable, other persons, provided that any risks which may be associated with</w:t>
      </w:r>
      <w:r>
        <w:t xml:space="preserve"> </w:t>
      </w:r>
      <w:r>
        <w:t xml:space="preserve">their intended use constitute acceptable risks when weighed against the benefits to the patient and are</w:t>
      </w:r>
      <w:r>
        <w:t xml:space="preserve"> </w:t>
      </w:r>
      <w:r>
        <w:t xml:space="preserve">compatible with a high level of protection of health and safety.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Yes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Evidence of Conformity:</w:t>
      </w:r>
      <w:r>
        <w:t xml:space="preserve"> </w:t>
      </w:r>
      <w:r>
        <w:t xml:space="preserve">ISO 14971:2019 (Risk Management Report), Clinical Evaluation</w:t>
      </w:r>
    </w:p>
    <w:p>
      <w:pPr>
        <w:pStyle w:val="BlockText"/>
      </w:pPr>
      <w:r>
        <w:t xml:space="preserve">This shall include reducing, as far as possible, the risk of use error due to the ergonomic features of the</w:t>
      </w:r>
      <w:r>
        <w:t xml:space="preserve"> </w:t>
      </w:r>
      <w:r>
        <w:t xml:space="preserve">device and the environment in which the device is intended to be used (design for patient safety)</w:t>
      </w:r>
    </w:p>
    <w:p>
      <w:pPr>
        <w:numPr>
          <w:ilvl w:val="0"/>
          <w:numId w:val="1002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Yes</w:t>
      </w:r>
    </w:p>
    <w:p>
      <w:pPr>
        <w:numPr>
          <w:ilvl w:val="0"/>
          <w:numId w:val="1002"/>
        </w:numPr>
        <w:pStyle w:val="Compact"/>
      </w:pPr>
      <w:r>
        <w:rPr>
          <w:bCs/>
          <w:b/>
        </w:rPr>
        <w:t xml:space="preserve">Evidence of Conformity:</w:t>
      </w:r>
      <w:r>
        <w:t xml:space="preserve"> </w:t>
      </w:r>
      <w:r>
        <w:t xml:space="preserve">ISO 14971:2019 (Risk Management Report), IEC 62366-1:2015 (Usability Evaluation</w:t>
      </w:r>
      <w:r>
        <w:t xml:space="preserve"> </w:t>
      </w:r>
      <w:r>
        <w:t xml:space="preserve">Report)</w:t>
      </w:r>
    </w:p>
    <w:p>
      <w:pPr>
        <w:pStyle w:val="BlockText"/>
      </w:pPr>
      <w:r>
        <w:t xml:space="preserve">and consideration of the technical knowledge, experience, education and training and where applicable the</w:t>
      </w:r>
      <w:r>
        <w:t xml:space="preserve"> </w:t>
      </w:r>
      <w:r>
        <w:t xml:space="preserve">medical and physical conditions of intended users (design for lay, professional, disabled or other users).</w:t>
      </w:r>
    </w:p>
    <w:p>
      <w:pPr>
        <w:numPr>
          <w:ilvl w:val="0"/>
          <w:numId w:val="1003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Yes</w:t>
      </w:r>
    </w:p>
    <w:p>
      <w:pPr>
        <w:numPr>
          <w:ilvl w:val="0"/>
          <w:numId w:val="1003"/>
        </w:numPr>
        <w:pStyle w:val="Compact"/>
      </w:pPr>
      <w:r>
        <w:rPr>
          <w:bCs/>
          <w:b/>
        </w:rPr>
        <w:t xml:space="preserve">Evidence of Conformity:</w:t>
      </w:r>
      <w:r>
        <w:t xml:space="preserve"> </w:t>
      </w:r>
      <w:r>
        <w:t xml:space="preserve">IEC 62366-1:2015 (Usability Evaluation Report)</w:t>
      </w:r>
    </w:p>
    <w:bookmarkEnd w:id="20"/>
    <w:bookmarkStart w:id="21" w:name="section-1"/>
    <w:p>
      <w:pPr>
        <w:pStyle w:val="Heading2"/>
      </w:pPr>
      <w:r>
        <w:t xml:space="preserve">2</w:t>
      </w:r>
    </w:p>
    <w:p>
      <w:pPr>
        <w:pStyle w:val="BlockText"/>
      </w:pPr>
      <w:r>
        <w:t xml:space="preserve">The solutions adopted by the manufacturer for the design and construction of the devices must conform to</w:t>
      </w:r>
      <w:r>
        <w:t xml:space="preserve"> </w:t>
      </w:r>
      <w:r>
        <w:t xml:space="preserve">safety principles, taking account of the generally acknowledged state of the art.</w:t>
      </w:r>
    </w:p>
    <w:p>
      <w:pPr>
        <w:pStyle w:val="BlockText"/>
      </w:pPr>
      <w:r>
        <w:t xml:space="preserve">In selecting the most appropriate solutions, the manufacturer must apply the following principles in the</w:t>
      </w:r>
      <w:r>
        <w:t xml:space="preserve"> </w:t>
      </w:r>
      <w:r>
        <w:t xml:space="preserve">following order:</w:t>
      </w:r>
    </w:p>
    <w:p>
      <w:pPr>
        <w:numPr>
          <w:ilvl w:val="0"/>
          <w:numId w:val="1004"/>
        </w:numPr>
        <w:pStyle w:val="Compact"/>
      </w:pPr>
      <w:r>
        <w:t xml:space="preserve">Eliminate or reduce risks as far as possible (inherently safe design and construction),</w:t>
      </w:r>
    </w:p>
    <w:p>
      <w:pPr>
        <w:numPr>
          <w:ilvl w:val="0"/>
          <w:numId w:val="1004"/>
        </w:numPr>
        <w:pStyle w:val="Compact"/>
      </w:pPr>
      <w:r>
        <w:t xml:space="preserve">Where appropriate take adequate protection measures including alarms if necessary, in relation to risks</w:t>
      </w:r>
      <w:r>
        <w:t xml:space="preserve"> </w:t>
      </w:r>
      <w:r>
        <w:t xml:space="preserve">that cannot be eliminated,</w:t>
      </w:r>
    </w:p>
    <w:p>
      <w:pPr>
        <w:numPr>
          <w:ilvl w:val="0"/>
          <w:numId w:val="1004"/>
        </w:numPr>
        <w:pStyle w:val="Compact"/>
      </w:pPr>
      <w:r>
        <w:t xml:space="preserve">Inform users of the residual risks due to any shortcomings of the protection measures adopted.</w:t>
      </w:r>
    </w:p>
    <w:p>
      <w:pPr>
        <w:numPr>
          <w:ilvl w:val="0"/>
          <w:numId w:val="1005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Yes</w:t>
      </w:r>
    </w:p>
    <w:p>
      <w:pPr>
        <w:numPr>
          <w:ilvl w:val="0"/>
          <w:numId w:val="1005"/>
        </w:numPr>
        <w:pStyle w:val="Compact"/>
      </w:pPr>
      <w:r>
        <w:rPr>
          <w:bCs/>
          <w:b/>
        </w:rPr>
        <w:t xml:space="preserve">Evidence of Conformity:</w:t>
      </w:r>
      <w:r>
        <w:t xml:space="preserve"> </w:t>
      </w:r>
      <w:r>
        <w:t xml:space="preserve">ISO 14971:2019 (Risk Management Report)</w:t>
      </w:r>
    </w:p>
    <w:bookmarkEnd w:id="21"/>
    <w:bookmarkStart w:id="22" w:name="section-2"/>
    <w:p>
      <w:pPr>
        <w:pStyle w:val="Heading2"/>
      </w:pPr>
      <w:r>
        <w:t xml:space="preserve">3</w:t>
      </w:r>
    </w:p>
    <w:p>
      <w:pPr>
        <w:pStyle w:val="BlockText"/>
      </w:pPr>
      <w:r>
        <w:t xml:space="preserve">The devices must achieve the performances intended by the manufacturer and be designed, manufactured and</w:t>
      </w:r>
      <w:r>
        <w:t xml:space="preserve"> </w:t>
      </w:r>
      <w:r>
        <w:t xml:space="preserve">packaged in such a way that they are suitable for one or more of the functions referred to in Article 1 (2)</w:t>
      </w:r>
      <w:r>
        <w:t xml:space="preserve"> </w:t>
      </w:r>
      <w:r>
        <w:t xml:space="preserve">(a), as specified by the manufacturer.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Yes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Evidence of Conformity:</w:t>
      </w:r>
      <w:r>
        <w:t xml:space="preserve"> </w:t>
      </w:r>
      <w:r>
        <w:t xml:space="preserve">IEC 62304:2006 (Software Verification), Clinical Evaluation</w:t>
      </w:r>
    </w:p>
    <w:bookmarkEnd w:id="22"/>
    <w:bookmarkStart w:id="23" w:name="section-3"/>
    <w:p>
      <w:pPr>
        <w:pStyle w:val="Heading2"/>
      </w:pPr>
      <w:r>
        <w:t xml:space="preserve">4</w:t>
      </w:r>
    </w:p>
    <w:p>
      <w:pPr>
        <w:pStyle w:val="BlockText"/>
      </w:pPr>
      <w:r>
        <w:t xml:space="preserve">The characteristics and performances referred to in Sections 1, 2 and 3 must not be adversely affected to</w:t>
      </w:r>
      <w:r>
        <w:t xml:space="preserve"> </w:t>
      </w:r>
      <w:r>
        <w:t xml:space="preserve">such a degree that the clinical conditions and safety of the patients and, where applicable, of other</w:t>
      </w:r>
      <w:r>
        <w:t xml:space="preserve"> </w:t>
      </w:r>
      <w:r>
        <w:t xml:space="preserve">persons are compromised during the lifetime of the device as indicated by the manufacturer, when the device</w:t>
      </w:r>
      <w:r>
        <w:t xml:space="preserve"> </w:t>
      </w:r>
      <w:r>
        <w:t xml:space="preserve">is subjected to the stresses which can occur during normal conditions of use.</w:t>
      </w:r>
    </w:p>
    <w:p>
      <w:pPr>
        <w:numPr>
          <w:ilvl w:val="0"/>
          <w:numId w:val="1007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Yes</w:t>
      </w:r>
    </w:p>
    <w:p>
      <w:pPr>
        <w:numPr>
          <w:ilvl w:val="0"/>
          <w:numId w:val="1007"/>
        </w:numPr>
        <w:pStyle w:val="Compact"/>
      </w:pPr>
      <w:r>
        <w:rPr>
          <w:bCs/>
          <w:b/>
        </w:rPr>
        <w:t xml:space="preserve">Evidence of Conformity:</w:t>
      </w:r>
      <w:r>
        <w:t xml:space="preserve"> </w:t>
      </w:r>
      <w:r>
        <w:t xml:space="preserve">ISO 14971:2019 (Risk Management Report), IEC 62304:2006 (Software Verification</w:t>
      </w:r>
      <w:r>
        <w:t xml:space="preserve"> </w:t>
      </w:r>
      <w:r>
        <w:t xml:space="preserve">&amp; Validation)</w:t>
      </w:r>
    </w:p>
    <w:bookmarkEnd w:id="23"/>
    <w:bookmarkStart w:id="24" w:name="section-4"/>
    <w:p>
      <w:pPr>
        <w:pStyle w:val="Heading2"/>
      </w:pPr>
      <w:r>
        <w:t xml:space="preserve">5</w:t>
      </w:r>
    </w:p>
    <w:p>
      <w:pPr>
        <w:pStyle w:val="BlockText"/>
      </w:pPr>
      <w:r>
        <w:t xml:space="preserve">The devices must be designed, manufactured and packed in such a way that their characteristics and</w:t>
      </w:r>
      <w:r>
        <w:t xml:space="preserve"> </w:t>
      </w:r>
      <w:r>
        <w:t xml:space="preserve">performances during their intended use will not be adversely affected during transport and storage taking</w:t>
      </w:r>
      <w:r>
        <w:t xml:space="preserve"> </w:t>
      </w:r>
      <w:r>
        <w:t xml:space="preserve">account of the instructions and information provided by the manufacturer.</w:t>
      </w:r>
    </w:p>
    <w:p>
      <w:pPr>
        <w:numPr>
          <w:ilvl w:val="0"/>
          <w:numId w:val="1008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No</w:t>
      </w:r>
    </w:p>
    <w:bookmarkEnd w:id="24"/>
    <w:bookmarkStart w:id="25" w:name="section-5"/>
    <w:p>
      <w:pPr>
        <w:pStyle w:val="Heading2"/>
      </w:pPr>
      <w:r>
        <w:t xml:space="preserve">6</w:t>
      </w:r>
    </w:p>
    <w:p>
      <w:pPr>
        <w:pStyle w:val="BlockText"/>
      </w:pPr>
      <w:r>
        <w:t xml:space="preserve">Any undesirable side-effect must constitute an acceptable risk when weighed against the performances</w:t>
      </w:r>
      <w:r>
        <w:t xml:space="preserve"> </w:t>
      </w:r>
      <w:r>
        <w:t xml:space="preserve">intended.</w:t>
      </w:r>
    </w:p>
    <w:p>
      <w:pPr>
        <w:numPr>
          <w:ilvl w:val="0"/>
          <w:numId w:val="1009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Yes</w:t>
      </w:r>
    </w:p>
    <w:p>
      <w:pPr>
        <w:numPr>
          <w:ilvl w:val="0"/>
          <w:numId w:val="1009"/>
        </w:numPr>
        <w:pStyle w:val="Compact"/>
      </w:pPr>
      <w:r>
        <w:rPr>
          <w:bCs/>
          <w:b/>
        </w:rPr>
        <w:t xml:space="preserve">Evidence of Conformity:</w:t>
      </w:r>
      <w:r>
        <w:t xml:space="preserve"> </w:t>
      </w:r>
      <w:r>
        <w:t xml:space="preserve">ISO 14971:2019 (Risk Management Report)</w:t>
      </w:r>
    </w:p>
    <w:bookmarkEnd w:id="25"/>
    <w:bookmarkStart w:id="26" w:name="a"/>
    <w:p>
      <w:pPr>
        <w:pStyle w:val="Heading2"/>
      </w:pPr>
      <w:r>
        <w:t xml:space="preserve">6a</w:t>
      </w:r>
    </w:p>
    <w:p>
      <w:pPr>
        <w:pStyle w:val="BlockText"/>
      </w:pPr>
      <w:r>
        <w:t xml:space="preserve">Demonstration of conformity with the essential requirements must include a clinical evaluation in accordance</w:t>
      </w:r>
      <w:r>
        <w:t xml:space="preserve"> </w:t>
      </w:r>
      <w:r>
        <w:t xml:space="preserve">with Annex X.</w:t>
      </w:r>
    </w:p>
    <w:p>
      <w:pPr>
        <w:numPr>
          <w:ilvl w:val="0"/>
          <w:numId w:val="1010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Yes</w:t>
      </w:r>
    </w:p>
    <w:p>
      <w:pPr>
        <w:numPr>
          <w:ilvl w:val="0"/>
          <w:numId w:val="1010"/>
        </w:numPr>
        <w:pStyle w:val="Compact"/>
      </w:pPr>
      <w:r>
        <w:rPr>
          <w:bCs/>
          <w:b/>
        </w:rPr>
        <w:t xml:space="preserve">Evidence of Conformity:</w:t>
      </w:r>
      <w:r>
        <w:t xml:space="preserve"> </w:t>
      </w:r>
      <w:r>
        <w:t xml:space="preserve">Clinical Evaluation</w:t>
      </w:r>
    </w:p>
    <w:bookmarkEnd w:id="26"/>
    <w:bookmarkStart w:id="27" w:name="Xc6e3c4d9f21f85b15793116f2dbac732110aeef"/>
    <w:p>
      <w:pPr>
        <w:pStyle w:val="Heading2"/>
      </w:pPr>
      <w:r>
        <w:t xml:space="preserve">7: Chemical, physical and biological properties</w:t>
      </w:r>
    </w:p>
    <w:p>
      <w:pPr>
        <w:numPr>
          <w:ilvl w:val="0"/>
          <w:numId w:val="1011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No</w:t>
      </w:r>
    </w:p>
    <w:bookmarkEnd w:id="27"/>
    <w:bookmarkStart w:id="28" w:name="infection-and-microbial-contamination"/>
    <w:p>
      <w:pPr>
        <w:pStyle w:val="Heading2"/>
      </w:pPr>
      <w:r>
        <w:t xml:space="preserve">8: Infection and microbial contamination</w:t>
      </w:r>
    </w:p>
    <w:p>
      <w:pPr>
        <w:numPr>
          <w:ilvl w:val="0"/>
          <w:numId w:val="1012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No</w:t>
      </w:r>
    </w:p>
    <w:bookmarkEnd w:id="28"/>
    <w:bookmarkStart w:id="29" w:name="section-6"/>
    <w:p>
      <w:pPr>
        <w:pStyle w:val="Heading2"/>
      </w:pPr>
      <w:r>
        <w:t xml:space="preserve">9.1</w:t>
      </w:r>
    </w:p>
    <w:p>
      <w:pPr>
        <w:pStyle w:val="BlockText"/>
      </w:pPr>
      <w:r>
        <w:t xml:space="preserve">If the device is intended for use in combination with other devices or equipment, the whole combination,</w:t>
      </w:r>
      <w:r>
        <w:t xml:space="preserve"> </w:t>
      </w:r>
      <w:r>
        <w:t xml:space="preserve">including the connection system must be safe and must not impair the specified performances of the</w:t>
      </w:r>
      <w:r>
        <w:t xml:space="preserve"> </w:t>
      </w:r>
      <w:r>
        <w:t xml:space="preserve">devices. Any restrictions on use must be indicated on the label or in the instructions for use.</w:t>
      </w:r>
    </w:p>
    <w:p>
      <w:pPr>
        <w:numPr>
          <w:ilvl w:val="0"/>
          <w:numId w:val="1013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Yes</w:t>
      </w:r>
    </w:p>
    <w:p>
      <w:pPr>
        <w:numPr>
          <w:ilvl w:val="0"/>
          <w:numId w:val="1013"/>
        </w:numPr>
        <w:pStyle w:val="Compact"/>
      </w:pPr>
      <w:r>
        <w:rPr>
          <w:bCs/>
          <w:b/>
        </w:rPr>
        <w:t xml:space="preserve">Evidence of Conformity:</w:t>
      </w:r>
      <w:r>
        <w:t xml:space="preserve"> </w:t>
      </w:r>
      <w:r>
        <w:t xml:space="preserve">ISO 14971:2019 (Risk Management Report)</w:t>
      </w:r>
    </w:p>
    <w:bookmarkEnd w:id="29"/>
    <w:bookmarkStart w:id="30" w:name="section-7"/>
    <w:p>
      <w:pPr>
        <w:pStyle w:val="Heading2"/>
      </w:pPr>
      <w:r>
        <w:t xml:space="preserve">9.2</w:t>
      </w:r>
    </w:p>
    <w:p>
      <w:pPr>
        <w:pStyle w:val="BlockText"/>
      </w:pPr>
      <w:r>
        <w:t xml:space="preserve">Devices must be designed and manufactured in such a way as to remove or minimize as far as possible:</w:t>
      </w:r>
    </w:p>
    <w:p>
      <w:pPr>
        <w:numPr>
          <w:ilvl w:val="0"/>
          <w:numId w:val="1014"/>
        </w:numPr>
        <w:pStyle w:val="Compact"/>
      </w:pPr>
      <w:r>
        <w:t xml:space="preserve">The risk of injury, in connection with their physical features, including the volume/pressure ratio,</w:t>
      </w:r>
      <w:r>
        <w:t xml:space="preserve"> </w:t>
      </w:r>
      <w:r>
        <w:t xml:space="preserve">dimensional and where appro- priate ergonomic features,</w:t>
      </w:r>
    </w:p>
    <w:p>
      <w:pPr>
        <w:numPr>
          <w:ilvl w:val="0"/>
          <w:numId w:val="1014"/>
        </w:numPr>
        <w:pStyle w:val="Compact"/>
      </w:pPr>
      <w:r>
        <w:t xml:space="preserve">The risks connected with reasonably foreseeable environmental conditions, such as magnetic fields, external</w:t>
      </w:r>
      <w:r>
        <w:t xml:space="preserve"> </w:t>
      </w:r>
      <w:r>
        <w:t xml:space="preserve">electrical influences, electrostatic discharge, pressure, temperature or variations in pressure and</w:t>
      </w:r>
      <w:r>
        <w:t xml:space="preserve"> </w:t>
      </w:r>
      <w:r>
        <w:t xml:space="preserve">acceleration,</w:t>
      </w:r>
    </w:p>
    <w:p>
      <w:pPr>
        <w:numPr>
          <w:ilvl w:val="0"/>
          <w:numId w:val="1014"/>
        </w:numPr>
        <w:pStyle w:val="Compact"/>
      </w:pPr>
      <w:r>
        <w:t xml:space="preserve">The risks of reciprocal interference with other devices normally used in the investigations or for the</w:t>
      </w:r>
      <w:r>
        <w:t xml:space="preserve"> </w:t>
      </w:r>
      <w:r>
        <w:t xml:space="preserve">treatment given,</w:t>
      </w:r>
    </w:p>
    <w:p>
      <w:pPr>
        <w:numPr>
          <w:ilvl w:val="0"/>
          <w:numId w:val="1014"/>
        </w:numPr>
        <w:pStyle w:val="Compact"/>
      </w:pPr>
      <w:r>
        <w:t xml:space="preserve">The risks arising where maintenance or calibration are not possible (as with implants), from ageing of</w:t>
      </w:r>
      <w:r>
        <w:t xml:space="preserve"> </w:t>
      </w:r>
      <w:r>
        <w:t xml:space="preserve">materials used or loss of accuracy of any measuring or control mechanism.</w:t>
      </w:r>
    </w:p>
    <w:p>
      <w:pPr>
        <w:numPr>
          <w:ilvl w:val="0"/>
          <w:numId w:val="1015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No</w:t>
      </w:r>
    </w:p>
    <w:bookmarkEnd w:id="30"/>
    <w:bookmarkStart w:id="31" w:name="section-8"/>
    <w:p>
      <w:pPr>
        <w:pStyle w:val="Heading2"/>
      </w:pPr>
      <w:r>
        <w:t xml:space="preserve">9.3</w:t>
      </w:r>
    </w:p>
    <w:p>
      <w:pPr>
        <w:pStyle w:val="BlockText"/>
      </w:pPr>
      <w:r>
        <w:t xml:space="preserve">Devices must be designed and manufactured in such a way as to minimize the risks of fire or explosion during</w:t>
      </w:r>
      <w:r>
        <w:t xml:space="preserve"> </w:t>
      </w:r>
      <w:r>
        <w:t xml:space="preserve">normal use and in a single fault condition. Particular attention must be paid to devices whose intended use</w:t>
      </w:r>
      <w:r>
        <w:t xml:space="preserve"> </w:t>
      </w:r>
      <w:r>
        <w:t xml:space="preserve">includes exposure to flammable substances or to substances which could cause combustion.</w:t>
      </w:r>
    </w:p>
    <w:p>
      <w:pPr>
        <w:numPr>
          <w:ilvl w:val="0"/>
          <w:numId w:val="1016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No</w:t>
      </w:r>
    </w:p>
    <w:bookmarkEnd w:id="31"/>
    <w:bookmarkStart w:id="32" w:name="devices-with-a-measuring-function"/>
    <w:p>
      <w:pPr>
        <w:pStyle w:val="Heading2"/>
      </w:pPr>
      <w:r>
        <w:t xml:space="preserve">10: Devices with a measuring function</w:t>
      </w:r>
    </w:p>
    <w:p>
      <w:pPr>
        <w:numPr>
          <w:ilvl w:val="0"/>
          <w:numId w:val="1017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No</w:t>
      </w:r>
    </w:p>
    <w:bookmarkEnd w:id="32"/>
    <w:bookmarkStart w:id="33" w:name="protection-against-radiation"/>
    <w:p>
      <w:pPr>
        <w:pStyle w:val="Heading2"/>
      </w:pPr>
      <w:r>
        <w:t xml:space="preserve">11: Protection against radiation</w:t>
      </w:r>
    </w:p>
    <w:p>
      <w:pPr>
        <w:numPr>
          <w:ilvl w:val="0"/>
          <w:numId w:val="1018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No</w:t>
      </w:r>
    </w:p>
    <w:bookmarkEnd w:id="33"/>
    <w:bookmarkStart w:id="34" w:name="section-9"/>
    <w:p>
      <w:pPr>
        <w:pStyle w:val="Heading2"/>
      </w:pPr>
      <w:r>
        <w:t xml:space="preserve">12.1</w:t>
      </w:r>
    </w:p>
    <w:p>
      <w:pPr>
        <w:pStyle w:val="BlockText"/>
      </w:pPr>
      <w:r>
        <w:t xml:space="preserve">Devices incorporating electronic programmable systems must be designed to ensure the repeatability,</w:t>
      </w:r>
      <w:r>
        <w:t xml:space="preserve"> </w:t>
      </w:r>
      <w:r>
        <w:t xml:space="preserve">reliability and performance of these systems according to the intended use. In the event of a single fault</w:t>
      </w:r>
      <w:r>
        <w:t xml:space="preserve"> </w:t>
      </w:r>
      <w:r>
        <w:t xml:space="preserve">condition (in the system) appropriate means should be adopted to eliminate or reduce as far as possible</w:t>
      </w:r>
      <w:r>
        <w:t xml:space="preserve"> </w:t>
      </w:r>
      <w:r>
        <w:t xml:space="preserve">consequent risks.</w:t>
      </w:r>
    </w:p>
    <w:p>
      <w:pPr>
        <w:numPr>
          <w:ilvl w:val="0"/>
          <w:numId w:val="1019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Yes</w:t>
      </w:r>
    </w:p>
    <w:bookmarkEnd w:id="34"/>
    <w:bookmarkStart w:id="35" w:name="a-1"/>
    <w:p>
      <w:pPr>
        <w:pStyle w:val="Heading2"/>
      </w:pPr>
      <w:r>
        <w:t xml:space="preserve">12.1a</w:t>
      </w:r>
    </w:p>
    <w:p>
      <w:pPr>
        <w:pStyle w:val="BlockText"/>
      </w:pPr>
      <w:r>
        <w:t xml:space="preserve">For devices which incorporate software or which are medical software in themselves, the software must be</w:t>
      </w:r>
      <w:r>
        <w:t xml:space="preserve"> </w:t>
      </w:r>
      <w:r>
        <w:t xml:space="preserve">validated according to the state of the art taking into account the principles of development lifecycle,</w:t>
      </w:r>
      <w:r>
        <w:t xml:space="preserve"> </w:t>
      </w:r>
      <w:r>
        <w:t xml:space="preserve">risk management, validation and verification.</w:t>
      </w:r>
    </w:p>
    <w:p>
      <w:pPr>
        <w:numPr>
          <w:ilvl w:val="0"/>
          <w:numId w:val="1020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Yes</w:t>
      </w:r>
    </w:p>
    <w:p>
      <w:pPr>
        <w:numPr>
          <w:ilvl w:val="0"/>
          <w:numId w:val="1020"/>
        </w:numPr>
        <w:pStyle w:val="Compact"/>
      </w:pPr>
      <w:r>
        <w:rPr>
          <w:bCs/>
          <w:b/>
        </w:rPr>
        <w:t xml:space="preserve">Evidence of Conformity:</w:t>
      </w:r>
      <w:r>
        <w:t xml:space="preserve"> </w:t>
      </w:r>
      <w:r>
        <w:t xml:space="preserve">ISO 14971:2019 (Risk Management Report), IEC 62304:2006 (SOP Software</w:t>
      </w:r>
      <w:r>
        <w:t xml:space="preserve"> </w:t>
      </w:r>
      <w:r>
        <w:t xml:space="preserve">Development, Software Verification &amp; Validation), IEC 62366-1:2015 (Usability Evaluation Report)</w:t>
      </w:r>
    </w:p>
    <w:bookmarkEnd w:id="35"/>
    <w:bookmarkStart w:id="36" w:name="section-10"/>
    <w:p>
      <w:pPr>
        <w:pStyle w:val="Heading2"/>
      </w:pPr>
      <w:r>
        <w:t xml:space="preserve">12.2 - 12.3</w:t>
      </w:r>
    </w:p>
    <w:p>
      <w:pPr>
        <w:numPr>
          <w:ilvl w:val="0"/>
          <w:numId w:val="1021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No</w:t>
      </w:r>
    </w:p>
    <w:bookmarkEnd w:id="36"/>
    <w:bookmarkStart w:id="37" w:name="section-11"/>
    <w:p>
      <w:pPr>
        <w:pStyle w:val="Heading2"/>
      </w:pPr>
      <w:r>
        <w:t xml:space="preserve">12.4</w:t>
      </w:r>
    </w:p>
    <w:p>
      <w:pPr>
        <w:pStyle w:val="BlockText"/>
      </w:pPr>
      <w:r>
        <w:t xml:space="preserve">Devices intended to monitor one or more clinical parameters of a patient must be equipped with appropriate</w:t>
      </w:r>
      <w:r>
        <w:t xml:space="preserve"> </w:t>
      </w:r>
      <w:r>
        <w:t xml:space="preserve">alarm systems to alert the user of situations which could lead to death or severe deterioration of the</w:t>
      </w:r>
      <w:r>
        <w:t xml:space="preserve"> </w:t>
      </w:r>
      <w:r>
        <w:t xml:space="preserve">patient’s state of health.</w:t>
      </w:r>
    </w:p>
    <w:p>
      <w:pPr>
        <w:numPr>
          <w:ilvl w:val="0"/>
          <w:numId w:val="1022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No (no monitoring)</w:t>
      </w:r>
    </w:p>
    <w:bookmarkEnd w:id="37"/>
    <w:bookmarkStart w:id="38" w:name="section-12"/>
    <w:p>
      <w:pPr>
        <w:pStyle w:val="Heading2"/>
      </w:pPr>
      <w:r>
        <w:t xml:space="preserve">12.5 - 12.8</w:t>
      </w:r>
    </w:p>
    <w:p>
      <w:pPr>
        <w:numPr>
          <w:ilvl w:val="0"/>
          <w:numId w:val="1023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No</w:t>
      </w:r>
    </w:p>
    <w:bookmarkEnd w:id="38"/>
    <w:bookmarkStart w:id="41" w:name="information-supplied-by-the-manufacturer"/>
    <w:p>
      <w:pPr>
        <w:pStyle w:val="Heading2"/>
      </w:pPr>
      <w:r>
        <w:t xml:space="preserve">13 Information supplied by the manufacturer</w:t>
      </w:r>
    </w:p>
    <w:p>
      <w:pPr>
        <w:numPr>
          <w:ilvl w:val="0"/>
          <w:numId w:val="1024"/>
        </w:numPr>
        <w:pStyle w:val="Compact"/>
      </w:pPr>
      <w:r>
        <w:rPr>
          <w:bCs/>
          <w:b/>
        </w:rPr>
        <w:t xml:space="preserve">Applicable:</w:t>
      </w:r>
      <w:r>
        <w:t xml:space="preserve"> </w:t>
      </w:r>
      <w:r>
        <w:t xml:space="preserve">Yes</w:t>
      </w:r>
    </w:p>
    <w:p>
      <w:pPr>
        <w:numPr>
          <w:ilvl w:val="0"/>
          <w:numId w:val="1024"/>
        </w:numPr>
        <w:pStyle w:val="Compact"/>
      </w:pPr>
      <w:r>
        <w:rPr>
          <w:bCs/>
          <w:b/>
        </w:rPr>
        <w:t xml:space="preserve">Evidence of Conformity:</w:t>
      </w:r>
      <w:r>
        <w:t xml:space="preserve"> </w:t>
      </w:r>
      <w:r>
        <w:t xml:space="preserve">ISO 14971:2019, IEC 62366-1:2015 (Labelling, Instructions for Use)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9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40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41"/>
    <w:bookmarkEnd w:id="4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9" Target="https://openregulatory.com" TargetMode="External" /><Relationship Type="http://schemas.openxmlformats.org/officeDocument/2006/relationships/hyperlink" Id="rId40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9" Target="https://openregulatory.com" TargetMode="External" /><Relationship Type="http://schemas.openxmlformats.org/officeDocument/2006/relationships/hyperlink" Id="rId40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2024-04-25T13:02:10Z</dcterms:created>
  <dcterms:modified xsi:type="dcterms:W3CDTF">2024-04-25T13:02:10Z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