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X0338548c9dc32118f83590be762cb494cc11872"/>
    <w:p>
      <w:pPr>
        <w:pStyle w:val="Heading1"/>
      </w:pPr>
      <w:r>
        <w:t xml:space="preserve">Appointment as Person Responsible for Regulatory Compliance</w:t>
      </w:r>
    </w:p>
    <w:p>
      <w:pPr>
        <w:pStyle w:val="FirstParagraph"/>
      </w:pPr>
      <w:r>
        <w:t xml:space="preserve">Effective from</w:t>
      </w:r>
      <w:r>
        <w:t xml:space="preserve"> </w:t>
      </w:r>
      <w:r>
        <w:rPr>
          <w:i/>
          <w:iCs/>
        </w:rPr>
        <w:t xml:space="preserve">DATE</w:t>
      </w:r>
      <w:r>
        <w:t xml:space="preserve">, the management (top management) of</w:t>
      </w:r>
      <w:r>
        <w:t xml:space="preserve"> </w:t>
      </w:r>
      <w:r>
        <w:rPr>
          <w:i/>
          <w:iCs/>
        </w:rPr>
        <w:t xml:space="preserve">COMPANY NAME</w:t>
      </w:r>
      <w:r>
        <w:t xml:space="preserve"> </w:t>
      </w:r>
      <w:r>
        <w:t xml:space="preserve">appoints</w:t>
      </w:r>
    </w:p>
    <w:p>
      <w:pPr>
        <w:pStyle w:val="BodyText"/>
      </w:pPr>
      <w:r>
        <w:rPr>
          <w:i/>
          <w:iCs/>
        </w:rPr>
        <w:t xml:space="preserve">PRRC name</w:t>
      </w:r>
      <w:r>
        <w:t xml:space="preserve"> </w:t>
      </w:r>
      <w:r>
        <w:t xml:space="preserve">(</w:t>
      </w:r>
      <w:r>
        <w:rPr>
          <w:i/>
          <w:iCs/>
        </w:rPr>
        <w:t xml:space="preserve">company name, if external</w:t>
      </w:r>
      <w:r>
        <w:t xml:space="preserve">)</w:t>
      </w:r>
    </w:p>
    <w:p>
      <w:pPr>
        <w:pStyle w:val="BodyText"/>
      </w:pPr>
      <w:r>
        <w:t xml:space="preserve">as its Person Responsible for Regulatory Compliance (PRRC) according to article 15 of the EU Medical Device</w:t>
      </w:r>
      <w:r>
        <w:t xml:space="preserve"> </w:t>
      </w:r>
      <w:r>
        <w:t xml:space="preserve">Regulation (EU) 2017/745 (MDR).</w:t>
      </w:r>
      <w:r>
        <w:t xml:space="preserve"> </w:t>
      </w:r>
      <w:r>
        <w:rPr>
          <w:i/>
          <w:iCs/>
        </w:rPr>
        <w:t xml:space="preserve">COMPANY NAME</w:t>
      </w:r>
      <w:r>
        <w:t xml:space="preserve"> </w:t>
      </w:r>
      <w:r>
        <w:t xml:space="preserve">acts as a manufacturer of medical devices within the scope of</w:t>
      </w:r>
      <w:r>
        <w:t xml:space="preserve"> </w:t>
      </w:r>
      <w:r>
        <w:t xml:space="preserve">the aforementioned EU Regulation.</w:t>
      </w:r>
    </w:p>
    <w:p>
      <w:pPr>
        <w:pStyle w:val="BodyText"/>
      </w:pPr>
      <w:r>
        <w:t xml:space="preserve">The PRRC has to ensure that:</w:t>
      </w:r>
    </w:p>
    <w:p>
      <w:pPr>
        <w:pStyle w:val="Compact"/>
        <w:numPr>
          <w:ilvl w:val="0"/>
          <w:numId w:val="1001"/>
        </w:numPr>
      </w:pPr>
      <w:r>
        <w:t xml:space="preserve">the conformity of the devices is appropriately checked, in accordance with the quality management system</w:t>
      </w:r>
      <w:r>
        <w:t xml:space="preserve"> </w:t>
      </w:r>
      <w:r>
        <w:t xml:space="preserve">under which the devices are manufactured before a device is released;</w:t>
      </w:r>
    </w:p>
    <w:p>
      <w:pPr>
        <w:pStyle w:val="Compact"/>
        <w:numPr>
          <w:ilvl w:val="0"/>
          <w:numId w:val="1001"/>
        </w:numPr>
      </w:pPr>
      <w:r>
        <w:t xml:space="preserve">the technical documentation and the EU declaration of conformity are drawn up and kept up-to-date;</w:t>
      </w:r>
    </w:p>
    <w:p>
      <w:pPr>
        <w:pStyle w:val="Compact"/>
        <w:numPr>
          <w:ilvl w:val="0"/>
          <w:numId w:val="1001"/>
        </w:numPr>
      </w:pPr>
      <w:r>
        <w:t xml:space="preserve">the post-market surveillance obligations are complied with in accordance with Article 10(10) of the</w:t>
      </w:r>
      <w:r>
        <w:t xml:space="preserve"> </w:t>
      </w:r>
      <w:r>
        <w:t xml:space="preserve">regulation;</w:t>
      </w:r>
    </w:p>
    <w:p>
      <w:pPr>
        <w:pStyle w:val="Compact"/>
        <w:numPr>
          <w:ilvl w:val="0"/>
          <w:numId w:val="1001"/>
        </w:numPr>
      </w:pPr>
      <w:r>
        <w:t xml:space="preserve">the reporting obligations referred to in Articles 87 to 91 (MDR) are fulfilled;</w:t>
      </w:r>
    </w:p>
    <w:p>
      <w:pPr>
        <w:pStyle w:val="Compact"/>
        <w:numPr>
          <w:ilvl w:val="0"/>
          <w:numId w:val="1001"/>
        </w:numPr>
      </w:pPr>
      <w:r>
        <w:t xml:space="preserve">in the case of investigational devices, the statement referred to in Section 4.1 of Chapter II of Annex XV</w:t>
      </w:r>
      <w:r>
        <w:t xml:space="preserve"> </w:t>
      </w:r>
      <w:r>
        <w:t xml:space="preserve">(MDR) is issued.</w:t>
      </w:r>
    </w:p>
    <w:p>
      <w:pPr>
        <w:pStyle w:val="FirstParagraph"/>
      </w:pPr>
      <w:r>
        <w:t xml:space="preserve">The company gives the PRRC the necessary authority and responsibility to perform the tasks and provides the</w:t>
      </w:r>
      <w:r>
        <w:t xml:space="preserve"> </w:t>
      </w:r>
      <w:r>
        <w:t xml:space="preserve">appropriate resources.</w:t>
      </w:r>
    </w:p>
    <w:p>
      <w:pPr>
        <w:pStyle w:val="BodyText"/>
      </w:pPr>
      <w:r>
        <w:t xml:space="preserve">The PRRC ensures permanent and continuous availability in accordance with the contractual agreement.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Place, Date</w:t>
      </w:r>
      <w:r>
        <w:br/>
      </w:r>
      <w:r>
        <w:t xml:space="preserve">Management Representative // Person Responsible for Regulatory Compliance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2024-05-08T18:51:55Z</dcterms:created>
  <dcterms:modified xsi:type="dcterms:W3CDTF">2024-05-08T18:51:55Z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