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33" w:name="Xdf779d08ee43db0c1cfe1be03fbd27d82c84d5d"/>
    <w:p>
      <w:pPr>
        <w:pStyle w:val="Heading1"/>
      </w:pPr>
      <w:r>
        <w:t xml:space="preserve">Post-Market Clinical Follow-Up Report (PMCFR)</w:t>
      </w:r>
    </w:p>
    <w:p>
      <w:pPr>
        <w:pStyle w:val="FirstParagraph"/>
      </w:pPr>
      <w:r>
        <w:t xml:space="preserve">This template is used to document the results of all post-market-clinical-follow-up activities conducted for</w:t>
      </w:r>
      <w:r>
        <w:t xml:space="preserve"> </w:t>
      </w:r>
      <w:r>
        <w:t xml:space="preserve">the &lt;name of the medical device&gt;.</w:t>
      </w:r>
    </w:p>
    <w:p>
      <w:pPr>
        <w:pStyle w:val="BlockText"/>
      </w:pPr>
      <w:r>
        <w:t xml:space="preserve">Note:</w:t>
      </w:r>
    </w:p>
    <w:p>
      <w:pPr>
        <w:pStyle w:val="BlockText"/>
      </w:pPr>
      <w:r>
        <w:t xml:space="preserve">According to the MDR, Annex XIV, Part B (7), the manufacturer shall analyse the findings of the PMCF and</w:t>
      </w:r>
      <w:r>
        <w:t xml:space="preserve"> </w:t>
      </w:r>
      <w:r>
        <w:t xml:space="preserve">document the results in a PMCF evaluation report that shall be part of the clinical evaluation report and</w:t>
      </w:r>
      <w:r>
        <w:t xml:space="preserve"> </w:t>
      </w:r>
      <w:r>
        <w:t xml:space="preserve">the technical documentation.</w:t>
      </w:r>
    </w:p>
    <w:p>
      <w:pPr>
        <w:pStyle w:val="BlockText"/>
      </w:pPr>
      <w:r>
        <w:t xml:space="preserve">This means that you can decide to use this template or alternatively you can enter the results of the PMCF</w:t>
      </w:r>
      <w:r>
        <w:t xml:space="preserve"> </w:t>
      </w:r>
      <w:r>
        <w:t xml:space="preserve">activities directly into the CER.</w:t>
      </w:r>
    </w:p>
    <w:bookmarkStart w:id="20" w:name="product-information"/>
    <w:p>
      <w:pPr>
        <w:pStyle w:val="Heading2"/>
      </w:pPr>
      <w:r>
        <w:t xml:space="preserve">Product information</w:t>
      </w:r>
    </w:p>
    <w:tbl>
      <w:tblPr>
        <w:tblStyle w:val="Table"/>
        <w:tblW w:type="auto" w:w="0"/>
        <w:tblLook w:firstRow="1" w:lastRow="0" w:firstColumn="0" w:lastColumn="0" w:noHBand="0" w:noVBand="0" w:val="0020"/>
        <w:jc w:val="start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Parameter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Product or trade name: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Model and type: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Intended purpose:</w:t>
            </w:r>
          </w:p>
        </w:tc>
        <w:tc>
          <w:tcPr/>
          <w:p>
            <w:pPr>
              <w:pStyle w:val="Compact"/>
            </w:pPr>
          </w:p>
        </w:tc>
      </w:tr>
    </w:tbl>
    <w:bookmarkEnd w:id="20"/>
    <w:bookmarkStart w:id="21" w:name="context"/>
    <w:p>
      <w:pPr>
        <w:pStyle w:val="Heading2"/>
      </w:pPr>
      <w:r>
        <w:t xml:space="preserve">Context</w:t>
      </w:r>
    </w:p>
    <w:p>
      <w:pPr>
        <w:pStyle w:val="BlockText"/>
      </w:pPr>
      <w:r>
        <w:t xml:space="preserve">For your orientation, here is guidance documents that may further help you to fill out the template:</w:t>
      </w:r>
    </w:p>
    <w:p>
      <w:pPr>
        <w:numPr>
          <w:ilvl w:val="0"/>
          <w:numId w:val="1001"/>
        </w:numPr>
        <w:pStyle w:val="Compact"/>
      </w:pPr>
      <w:r>
        <w:t xml:space="preserve">MDCG 2020-8 Post-market clinical follow-up (PMCF) Report Template: A guide for manufacturers and notified</w:t>
      </w:r>
      <w:r>
        <w:t xml:space="preserve"> </w:t>
      </w:r>
      <w:r>
        <w:t xml:space="preserve">bodies</w:t>
      </w:r>
    </w:p>
    <w:p>
      <w:pPr>
        <w:pStyle w:val="FirstParagraph"/>
      </w:pPr>
      <w:r>
        <w:t xml:space="preserve">The post-market clinical follow-up report (PMCFR) is compiled at the end of a surveillance interval as</w:t>
      </w:r>
      <w:r>
        <w:t xml:space="preserve"> </w:t>
      </w:r>
      <w:r>
        <w:t xml:space="preserve">specified in the post-market clinical follow-up plan (PMCFP) and serves as input for the next update of the</w:t>
      </w:r>
      <w:r>
        <w:t xml:space="preserve"> </w:t>
      </w:r>
      <w:r>
        <w:t xml:space="preserve">clinical evaluation. Following Annex XIV MDR, the PMCF is conducted with the aim of:</w:t>
      </w:r>
    </w:p>
    <w:p>
      <w:pPr>
        <w:numPr>
          <w:ilvl w:val="0"/>
          <w:numId w:val="1002"/>
        </w:numPr>
        <w:pStyle w:val="Compact"/>
      </w:pPr>
      <w:r>
        <w:t xml:space="preserve">confirming the safety and performance of the device throughout its product life cycle,</w:t>
      </w:r>
    </w:p>
    <w:p>
      <w:pPr>
        <w:numPr>
          <w:ilvl w:val="0"/>
          <w:numId w:val="1002"/>
        </w:numPr>
        <w:pStyle w:val="Compact"/>
      </w:pPr>
      <w:r>
        <w:t xml:space="preserve">identifying previously unknown side-effects and monitoring the identified side-effects and contraindications,</w:t>
      </w:r>
    </w:p>
    <w:p>
      <w:pPr>
        <w:numPr>
          <w:ilvl w:val="0"/>
          <w:numId w:val="1002"/>
        </w:numPr>
        <w:pStyle w:val="Compact"/>
      </w:pPr>
      <w:r>
        <w:t xml:space="preserve">identifying and analyzing emergent risks on the basis of factual evidence,</w:t>
      </w:r>
    </w:p>
    <w:p>
      <w:pPr>
        <w:numPr>
          <w:ilvl w:val="0"/>
          <w:numId w:val="1002"/>
        </w:numPr>
        <w:pStyle w:val="Compact"/>
      </w:pPr>
      <w:r>
        <w:t xml:space="preserve">ensuring the continued acceptability of the benefit-risk ratio referred to in sections 1 and 9 of annex I</w:t>
      </w:r>
      <w:r>
        <w:t xml:space="preserve"> </w:t>
      </w:r>
      <w:r>
        <w:t xml:space="preserve">MDR, and</w:t>
      </w:r>
    </w:p>
    <w:p>
      <w:pPr>
        <w:numPr>
          <w:ilvl w:val="0"/>
          <w:numId w:val="1002"/>
        </w:numPr>
        <w:pStyle w:val="Compact"/>
      </w:pPr>
      <w:r>
        <w:t xml:space="preserve">identifying possible systematic misuse or off-label use of the device, with a view to verifying that the</w:t>
      </w:r>
      <w:r>
        <w:t xml:space="preserve"> </w:t>
      </w:r>
      <w:r>
        <w:t xml:space="preserve">intended purpose is correct.</w:t>
      </w:r>
    </w:p>
    <w:bookmarkEnd w:id="21"/>
    <w:bookmarkStart w:id="24" w:name="X5d53c0ea5d81f1dd2a978d129c402108726f334"/>
    <w:p>
      <w:pPr>
        <w:pStyle w:val="Heading2"/>
      </w:pPr>
      <w:r>
        <w:t xml:space="preserve">1. Activities related to PMCF: general and specific methods and procedures</w:t>
      </w:r>
    </w:p>
    <w:p>
      <w:pPr>
        <w:pStyle w:val="BlockText"/>
      </w:pPr>
      <w:r>
        <w:t xml:space="preserve">In this section the manufacturer shall report all the activities described in the PMCF plan which have been</w:t>
      </w:r>
      <w:r>
        <w:t xml:space="preserve"> </w:t>
      </w:r>
      <w:r>
        <w:t xml:space="preserve">performed, all the collected clinical data obtained from those completed activities, as well as any</w:t>
      </w:r>
      <w:r>
        <w:t xml:space="preserve"> </w:t>
      </w:r>
      <w:r>
        <w:t xml:space="preserve">justification of deviations from the plan.</w:t>
      </w:r>
    </w:p>
    <w:p>
      <w:pPr>
        <w:pStyle w:val="BlockText"/>
      </w:pPr>
      <w:r>
        <w:t xml:space="preserve">The discussion shall include the analysis of the findings, whether positive or negative and also the</w:t>
      </w:r>
      <w:r>
        <w:t xml:space="preserve"> </w:t>
      </w:r>
      <w:r>
        <w:t xml:space="preserve">potential impact on the different documents (clinical evaluation report, risk management file, SSCP, etc…)</w:t>
      </w:r>
      <w:r>
        <w:t xml:space="preserve"> </w:t>
      </w:r>
      <w:r>
        <w:t xml:space="preserve">initially reviewed during the conformity assessment.</w:t>
      </w:r>
    </w:p>
    <w:p>
      <w:pPr>
        <w:pStyle w:val="BlockText"/>
      </w:pPr>
      <w:r>
        <w:t xml:space="preserve">It is expected for each activity performed, a description in different subsections, related to the type of</w:t>
      </w:r>
      <w:r>
        <w:t xml:space="preserve"> </w:t>
      </w:r>
      <w:r>
        <w:t xml:space="preserve">activities (device registry, PMCF studies, real world evidence, surveys about the use of device, etc…), and</w:t>
      </w:r>
      <w:r>
        <w:t xml:space="preserve"> </w:t>
      </w:r>
      <w:r>
        <w:t xml:space="preserve">for each subsection, a description about the quality of data collected</w:t>
      </w:r>
    </w:p>
    <w:bookmarkStart w:id="22" w:name="general-methods-and-procedures"/>
    <w:p>
      <w:pPr>
        <w:pStyle w:val="Heading3"/>
      </w:pPr>
      <w:r>
        <w:t xml:space="preserve">1.1 General methods and procedures</w:t>
      </w:r>
    </w:p>
    <w:p>
      <w:pPr>
        <w:pStyle w:val="BlockText"/>
      </w:pPr>
      <w:r>
        <w:t xml:space="preserve">Summarize the PMCF activities that have been described in the PMCF plan in section 1.1</w:t>
      </w:r>
    </w:p>
    <w:bookmarkEnd w:id="22"/>
    <w:bookmarkStart w:id="23" w:name="specific-methods-and-procedures"/>
    <w:p>
      <w:pPr>
        <w:pStyle w:val="Heading3"/>
      </w:pPr>
      <w:r>
        <w:t xml:space="preserve">1.2 Specific methods and procedures</w:t>
      </w:r>
    </w:p>
    <w:p>
      <w:pPr>
        <w:pStyle w:val="BlockText"/>
      </w:pPr>
      <w:r>
        <w:t xml:space="preserve">Summarize the PMCF activities that have been described in the PMCF plan in section 1.2</w:t>
      </w:r>
    </w:p>
    <w:bookmarkEnd w:id="23"/>
    <w:bookmarkEnd w:id="24"/>
    <w:bookmarkStart w:id="25" w:name="Xf34c72bc6c72bd90e136f48cb8a90fe5c3519b3"/>
    <w:p>
      <w:pPr>
        <w:pStyle w:val="Heading2"/>
      </w:pPr>
      <w:r>
        <w:t xml:space="preserve">2. Evaluation of clinical data relating to equivalent or similar devices</w:t>
      </w:r>
    </w:p>
    <w:p>
      <w:pPr>
        <w:pStyle w:val="BlockText"/>
      </w:pPr>
      <w:r>
        <w:t xml:space="preserve">In this section the manufacturer shall report all the clinical data collected relating to an equivalent</w:t>
      </w:r>
      <w:r>
        <w:t xml:space="preserve"> </w:t>
      </w:r>
      <w:r>
        <w:t xml:space="preserve">device or selected similar device(s), provide an analysis and conclusions, and whether changes of the state</w:t>
      </w:r>
      <w:r>
        <w:t xml:space="preserve"> </w:t>
      </w:r>
      <w:r>
        <w:t xml:space="preserve">of the art, or newly identified hazards would have an impact on the devices benefit-risk determination, the</w:t>
      </w:r>
      <w:r>
        <w:t xml:space="preserve"> </w:t>
      </w:r>
      <w:r>
        <w:t xml:space="preserve">clinical evaluation and/or the PMCF plan.</w:t>
      </w:r>
    </w:p>
    <w:tbl>
      <w:tblPr>
        <w:tblStyle w:val="Table"/>
        <w:tblW w:type="pct" w:w="5000"/>
        <w:tblLook w:firstRow="1" w:lastRow="0" w:firstColumn="0" w:lastColumn="0" w:noHBand="0" w:noVBand="0" w:val="0020"/>
        <w:jc w:val="start"/>
      </w:tblPr>
      <w:tblGrid>
        <w:gridCol w:w="2163"/>
        <w:gridCol w:w="888"/>
        <w:gridCol w:w="4867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Product name of equivalent / similar</w:t>
            </w:r>
            <w:r>
              <w:rPr>
                <w:bCs/>
                <w:b/>
              </w:rPr>
              <w:t xml:space="preserve">device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Results discussed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References used to get the results (publications, part of technical documentation from this equivalent / similar device)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25"/>
    <w:bookmarkStart w:id="28" w:name="X1d78a1bc2c720eb586935feec956d3cdc442b43"/>
    <w:p>
      <w:pPr>
        <w:pStyle w:val="Heading2"/>
      </w:pPr>
      <w:r>
        <w:t xml:space="preserve">3. Impact of the results on the technical documentation</w:t>
      </w:r>
    </w:p>
    <w:p>
      <w:pPr>
        <w:pStyle w:val="BlockText"/>
      </w:pPr>
      <w:r>
        <w:t xml:space="preserve">In this section, the manufacturer shall discuss the aggregate results coming from each PMCF activity planned</w:t>
      </w:r>
      <w:r>
        <w:t xml:space="preserve"> </w:t>
      </w:r>
      <w:r>
        <w:t xml:space="preserve">and performed, described in section C, but also results coming from equivalent and/or similar device,</w:t>
      </w:r>
      <w:r>
        <w:t xml:space="preserve"> </w:t>
      </w:r>
      <w:r>
        <w:t xml:space="preserve">described in section D, which are considered to impact the technical documentation and at least the</w:t>
      </w:r>
      <w:r>
        <w:t xml:space="preserve"> </w:t>
      </w:r>
      <w:r>
        <w:t xml:space="preserve">following documents shall be considered:</w:t>
      </w:r>
    </w:p>
    <w:bookmarkStart w:id="26" w:name="X06cc0680f0b5957a2a3cef6d37665f310276fa2"/>
    <w:p>
      <w:pPr>
        <w:pStyle w:val="Heading4"/>
      </w:pPr>
      <w:r>
        <w:rPr>
          <w:bCs/>
          <w:b/>
        </w:rPr>
        <w:t xml:space="preserve">3.1 Clinical evaluation report - CER (date and version)</w:t>
      </w:r>
    </w:p>
    <w:p>
      <w:pPr>
        <w:numPr>
          <w:ilvl w:val="0"/>
          <w:numId w:val="1003"/>
        </w:numPr>
        <w:pStyle w:val="Compact"/>
      </w:pPr>
      <w:r>
        <w:t xml:space="preserve">No relevant information from the clinical evaluation report have been considered.</w:t>
      </w:r>
    </w:p>
    <w:p>
      <w:pPr>
        <w:pStyle w:val="FirstParagraph"/>
      </w:pPr>
      <w:r>
        <w:t xml:space="preserve">If applicable, it is expected from the manufacturer to describe why some information that might have an impact</w:t>
      </w:r>
      <w:r>
        <w:t xml:space="preserve"> </w:t>
      </w:r>
      <w:r>
        <w:t xml:space="preserve">on the CER have not been considered.</w:t>
      </w:r>
    </w:p>
    <w:p>
      <w:pPr>
        <w:pStyle w:val="BodyText"/>
      </w:pPr>
      <w:r>
        <w:t xml:space="preserve">Relevant information analyzed and monitored:</w:t>
      </w:r>
    </w:p>
    <w:p>
      <w:pPr>
        <w:numPr>
          <w:ilvl w:val="0"/>
          <w:numId w:val="1004"/>
        </w:numPr>
        <w:pStyle w:val="Compact"/>
      </w:pPr>
      <w:r>
        <w:t xml:space="preserve">Add information here</w:t>
      </w:r>
    </w:p>
    <w:p>
      <w:pPr>
        <w:pStyle w:val="FirstParagraph"/>
      </w:pPr>
      <w:r>
        <w:t xml:space="preserve">Analysis of the outcome is to be reported in the updated clinical evaluation report.</w:t>
      </w:r>
    </w:p>
    <w:bookmarkEnd w:id="26"/>
    <w:bookmarkStart w:id="27" w:name="risk-management-file-date-and-version"/>
    <w:p>
      <w:pPr>
        <w:pStyle w:val="Heading4"/>
      </w:pPr>
      <w:r>
        <w:rPr>
          <w:bCs/>
          <w:b/>
        </w:rPr>
        <w:t xml:space="preserve">3. 2. Risk management file (date and version)</w:t>
      </w:r>
    </w:p>
    <w:p>
      <w:pPr>
        <w:numPr>
          <w:ilvl w:val="0"/>
          <w:numId w:val="1005"/>
        </w:numPr>
        <w:pStyle w:val="Compact"/>
      </w:pPr>
      <w:r>
        <w:t xml:space="preserve">No relevant information from the risk management file have been considered</w:t>
      </w:r>
    </w:p>
    <w:p>
      <w:pPr>
        <w:pStyle w:val="FirstParagraph"/>
      </w:pPr>
      <w:r>
        <w:t xml:space="preserve">If applicable, it is expected from the manufacturer to describe why some information that might have an impact</w:t>
      </w:r>
      <w:r>
        <w:t xml:space="preserve"> </w:t>
      </w:r>
      <w:r>
        <w:t xml:space="preserve">on the risk management file have not been considered.</w:t>
      </w:r>
    </w:p>
    <w:p>
      <w:pPr>
        <w:pStyle w:val="BodyText"/>
      </w:pPr>
      <w:r>
        <w:t xml:space="preserve">Relevant information analyzed and monitored:</w:t>
      </w:r>
    </w:p>
    <w:p>
      <w:pPr>
        <w:numPr>
          <w:ilvl w:val="0"/>
          <w:numId w:val="1006"/>
        </w:numPr>
        <w:pStyle w:val="Compact"/>
      </w:pPr>
      <w:r>
        <w:t xml:space="preserve">Add information here</w:t>
      </w:r>
    </w:p>
    <w:bookmarkEnd w:id="27"/>
    <w:bookmarkEnd w:id="28"/>
    <w:bookmarkStart w:id="29" w:name="conclusions"/>
    <w:p>
      <w:pPr>
        <w:pStyle w:val="Heading2"/>
      </w:pPr>
      <w:r>
        <w:t xml:space="preserve">4. Conclusions</w:t>
      </w:r>
    </w:p>
    <w:p>
      <w:pPr>
        <w:pStyle w:val="BlockText"/>
      </w:pPr>
      <w:r>
        <w:t xml:space="preserve">In this section, it is expected that the manufacturer shall provide an overall conclusion of the findings</w:t>
      </w:r>
      <w:r>
        <w:t xml:space="preserve"> </w:t>
      </w:r>
      <w:r>
        <w:t xml:space="preserve">and relate them to the aims of the PMCF plan. The conclusions shall be taken into account in the following</w:t>
      </w:r>
      <w:r>
        <w:t xml:space="preserve"> </w:t>
      </w:r>
      <w:r>
        <w:t xml:space="preserve">clinical evaluation and in the risk management. Finally, this conclusion shall highlight if any need for</w:t>
      </w:r>
      <w:r>
        <w:t xml:space="preserve"> </w:t>
      </w:r>
      <w:r>
        <w:t xml:space="preserve">preventive and/or corrective measures has been identified. The conclusion may also give input to the next</w:t>
      </w:r>
      <w:r>
        <w:t xml:space="preserve"> </w:t>
      </w:r>
      <w:r>
        <w:t xml:space="preserve">PMCF plan.</w:t>
      </w:r>
    </w:p>
    <w:bookmarkEnd w:id="29"/>
    <w:bookmarkStart w:id="32" w:name="update-of-post-market-clinical-follow-up"/>
    <w:p>
      <w:pPr>
        <w:pStyle w:val="Heading2"/>
      </w:pPr>
      <w:r>
        <w:t xml:space="preserve">5. Update of Post-Market Clinical Follow-Up</w:t>
      </w:r>
    </w:p>
    <w:p>
      <w:pPr>
        <w:pStyle w:val="BlockText"/>
      </w:pPr>
      <w:r>
        <w:t xml:space="preserve">Describe implications for PMCF activities in the next surveillance interval.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30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31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32"/>
    <w:bookmarkEnd w:id="33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30" Target="https://openregulatory.com" TargetMode="External" /><Relationship Type="http://schemas.openxmlformats.org/officeDocument/2006/relationships/hyperlink" Id="rId31" Target="https://openregulatory.com/template-licens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30" Target="https://openregulatory.com" TargetMode="External" /><Relationship Type="http://schemas.openxmlformats.org/officeDocument/2006/relationships/hyperlink" Id="rId31" Target="https://openregulatory.com/template-lic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2024-04-23T07:25:53Z</dcterms:created>
  <dcterms:modified xsi:type="dcterms:W3CDTF">2024-04-23T07:25:53Z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