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35" w:name="risk-management-plan"/>
    <w:p>
      <w:pPr>
        <w:pStyle w:val="Heading1"/>
      </w:pPr>
      <w:r>
        <w:t xml:space="preserve">Risk Management Plan</w:t>
      </w:r>
    </w:p>
    <w:p>
      <w:pPr>
        <w:pStyle w:val="FirstParagraph"/>
      </w:pPr>
      <w:r>
        <w:t xml:space="preserve">The Risk Management Plan contains the risk policy and defines the criteria for risk acceptance. It also</w:t>
      </w:r>
      <w:r>
        <w:t xml:space="preserve"> </w:t>
      </w:r>
      <w:r>
        <w:t xml:space="preserve">references relevant processes and activities which will be conducted for product-specific risk management as</w:t>
      </w:r>
      <w:r>
        <w:t xml:space="preserve"> </w:t>
      </w:r>
      <w:r>
        <w:t xml:space="preserve">part of the integrated software development process (SOP Integrated Software Development).</w:t>
      </w:r>
    </w:p>
    <w:bookmarkStart w:id="20" w:name="X5614e09c55ef0851c7044086f25d2c76553d393"/>
    <w:p>
      <w:pPr>
        <w:pStyle w:val="Heading2"/>
      </w:pPr>
      <w:r>
        <w:t xml:space="preserve">Mapping of Standard Requirements to Document Sections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603"/>
        <w:gridCol w:w="5316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14971:2019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1.2, 3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(Records of competence are kept as Part of QMS)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10.1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</w:t>
            </w:r>
          </w:p>
        </w:tc>
      </w:tr>
    </w:tbl>
    <w:bookmarkEnd w:id="20"/>
    <w:bookmarkStart w:id="30" w:name="relevant-processes"/>
    <w:p>
      <w:pPr>
        <w:pStyle w:val="Heading2"/>
      </w:pPr>
      <w:r>
        <w:t xml:space="preserve">1. Relevant Processes</w:t>
      </w:r>
    </w:p>
    <w:bookmarkStart w:id="21" w:name="risk-management-process-and-activities"/>
    <w:p>
      <w:pPr>
        <w:pStyle w:val="Heading3"/>
      </w:pPr>
      <w:r>
        <w:t xml:space="preserve">1.1 Risk Management Process and Activities</w:t>
      </w:r>
    </w:p>
    <w:p>
      <w:pPr>
        <w:pStyle w:val="FirstParagraph"/>
      </w:pPr>
      <w:r>
        <w:t xml:space="preserve">Risk Management Activities are integrated in the software development lifecycle as described in SOP Integrated</w:t>
      </w:r>
      <w:r>
        <w:t xml:space="preserve"> </w:t>
      </w:r>
      <w:r>
        <w:t xml:space="preserve">Software Development.</w:t>
      </w:r>
    </w:p>
    <w:bookmarkEnd w:id="21"/>
    <w:bookmarkStart w:id="26" w:name="risk-policy-and-risk-acceptability"/>
    <w:p>
      <w:pPr>
        <w:pStyle w:val="Heading3"/>
      </w:pPr>
      <w:r>
        <w:t xml:space="preserve">1.2 Risk Policy and Risk Acceptability</w:t>
      </w:r>
    </w:p>
    <w:p>
      <w:pPr>
        <w:pStyle w:val="FirstParagraph"/>
      </w:pPr>
      <w:r>
        <w:t xml:space="preserve">The following policy establishes criteria for risk acceptability following ISO 14971:2019 and ISO/TR</w:t>
      </w:r>
      <w:r>
        <w:t xml:space="preserve"> </w:t>
      </w:r>
      <w:r>
        <w:t xml:space="preserve">24971:2020. It applies to all people and activities involved in the design, development and distribution</w:t>
      </w:r>
      <w:r>
        <w:t xml:space="preserve"> </w:t>
      </w:r>
      <w:r>
        <w:t xml:space="preserve">process of the medical device, and intends to ensure highest levels of medical device safety consistent with</w:t>
      </w:r>
      <w:r>
        <w:t xml:space="preserve"> </w:t>
      </w:r>
      <w:r>
        <w:t xml:space="preserve">stakeholder expectations.</w:t>
      </w:r>
    </w:p>
    <w:p>
      <w:pPr>
        <w:pStyle w:val="BodyText"/>
      </w:pPr>
      <w:r>
        <w:t xml:space="preserve">The manufacturer defines framework criteria for risk acceptability in the form of estimated usage, severity of</w:t>
      </w:r>
      <w:r>
        <w:t xml:space="preserve"> </w:t>
      </w:r>
      <w:r>
        <w:t xml:space="preserve">harm and probability of occurrence (para. 1.2.1 - 1.2.3). The criteria are initially defined as part of the</w:t>
      </w:r>
      <w:r>
        <w:t xml:space="preserve"> </w:t>
      </w:r>
      <w:r>
        <w:t xml:space="preserve">early software development process and reviewed during every post-market surveillance cycle.</w:t>
      </w:r>
    </w:p>
    <w:p>
      <w:pPr>
        <w:pStyle w:val="BodyText"/>
      </w:pPr>
      <w:r>
        <w:t xml:space="preserve">Estimated usage, categories of severity / probability and risk matrix acceptance are defined based on</w:t>
      </w:r>
      <w:r>
        <w:t xml:space="preserve"> </w:t>
      </w:r>
      <w:r>
        <w:t xml:space="preserve">applicable regulatory requirements, relevant international norms and standards, as well as the generally</w:t>
      </w:r>
      <w:r>
        <w:t xml:space="preserve"> </w:t>
      </w:r>
      <w:r>
        <w:t xml:space="preserve">acknowledged state of the art (e.g. accepted results of scientific research, reports published by authorities,</w:t>
      </w:r>
      <w:r>
        <w:t xml:space="preserve"> </w:t>
      </w:r>
      <w:r>
        <w:t xml:space="preserve">established industry best practices).</w:t>
      </w:r>
    </w:p>
    <w:p>
      <w:pPr>
        <w:pStyle w:val="BodyText"/>
      </w:pPr>
      <w:r>
        <w:t xml:space="preserve">Acceptability for individual risks always must be established based on both, the estimated severity and the</w:t>
      </w:r>
      <w:r>
        <w:t xml:space="preserve"> </w:t>
      </w:r>
      <w:r>
        <w:t xml:space="preserve">estimated probability of a risk. The risk is deemed acceptable based on a combination of both, following the</w:t>
      </w:r>
      <w:r>
        <w:t xml:space="preserve"> </w:t>
      </w:r>
      <w:r>
        <w:t xml:space="preserve">risk matrix defined in para. 1.2.4.</w:t>
      </w:r>
    </w:p>
    <w:p>
      <w:pPr>
        <w:pStyle w:val="BodyText"/>
      </w:pPr>
      <w:r>
        <w:t xml:space="preserve">All identified risks must be reduced as far as possible (AFAP) without adversely affecting the</w:t>
      </w:r>
      <w:r>
        <w:t xml:space="preserve"> </w:t>
      </w:r>
      <w:r>
        <w:t xml:space="preserve">benefit-risk-ratio. Risk control measures implemented to reduce the risks must be chosen in the following</w:t>
      </w:r>
      <w:r>
        <w:t xml:space="preserve"> </w:t>
      </w:r>
      <w:r>
        <w:t xml:space="preserve">order:</w:t>
      </w:r>
    </w:p>
    <w:p>
      <w:pPr>
        <w:numPr>
          <w:ilvl w:val="0"/>
          <w:numId w:val="1001"/>
        </w:numPr>
        <w:pStyle w:val="Compact"/>
      </w:pPr>
      <w:r>
        <w:t xml:space="preserve">Inherent safety by design</w:t>
      </w:r>
    </w:p>
    <w:p>
      <w:pPr>
        <w:numPr>
          <w:ilvl w:val="0"/>
          <w:numId w:val="1001"/>
        </w:numPr>
        <w:pStyle w:val="Compact"/>
      </w:pPr>
      <w:r>
        <w:t xml:space="preserve">Protective measures</w:t>
      </w:r>
    </w:p>
    <w:p>
      <w:pPr>
        <w:numPr>
          <w:ilvl w:val="0"/>
          <w:numId w:val="1001"/>
        </w:numPr>
        <w:pStyle w:val="Compact"/>
      </w:pPr>
      <w:r>
        <w:t xml:space="preserve">Information for safety</w:t>
      </w:r>
    </w:p>
    <w:p>
      <w:pPr>
        <w:pStyle w:val="FirstParagraph"/>
      </w:pPr>
      <w:r>
        <w:t xml:space="preserve">Acceptability of the overall residual risk is established as part of the clinical evaluation process by</w:t>
      </w:r>
      <w:r>
        <w:t xml:space="preserve"> </w:t>
      </w:r>
      <w:r>
        <w:t xml:space="preserve">weighing benefits from intended use against the overall residual risk. Benefits may be described by their</w:t>
      </w:r>
      <w:r>
        <w:t xml:space="preserve"> </w:t>
      </w:r>
      <w:r>
        <w:t xml:space="preserve">magnitude or extent, the probability of experience within the intended patient population, the duration and</w:t>
      </w:r>
      <w:r>
        <w:t xml:space="preserve"> </w:t>
      </w:r>
      <w:r>
        <w:t xml:space="preserve">frequency of the benefit. For example, the manufacturer may compare the device to similar medical devices</w:t>
      </w:r>
      <w:r>
        <w:t xml:space="preserve"> </w:t>
      </w:r>
      <w:r>
        <w:t xml:space="preserve">available on the market: residual risks can be compared individually to corresponding risks of the similar</w:t>
      </w:r>
      <w:r>
        <w:t xml:space="preserve"> </w:t>
      </w:r>
      <w:r>
        <w:t xml:space="preserve">device, considering differences in intended use. The overall evaluation of the benefit-risk-ratio should take</w:t>
      </w:r>
      <w:r>
        <w:t xml:space="preserve"> </w:t>
      </w:r>
      <w:r>
        <w:t xml:space="preserve">into account knowledge of the intended medical indication, the generally acknowledged state of the art in</w:t>
      </w:r>
      <w:r>
        <w:t xml:space="preserve"> </w:t>
      </w:r>
      <w:r>
        <w:t xml:space="preserve">technology and medicine, and the availability of alternative medical devices or treatments.</w:t>
      </w:r>
    </w:p>
    <w:bookmarkStart w:id="22" w:name="estimates-for-usage"/>
    <w:p>
      <w:pPr>
        <w:pStyle w:val="Heading4"/>
      </w:pPr>
      <w:r>
        <w:t xml:space="preserve">1.2.1 Estimates for Usage</w:t>
      </w:r>
    </w:p>
    <w:p>
      <w:pPr>
        <w:pStyle w:val="BlockText"/>
      </w:pPr>
      <w:r>
        <w:t xml:space="preserve">Define estimates for how much you think your device is going to be used in the market.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214"/>
        <w:gridCol w:w="6705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Usage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Product life span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Enter number of years you expect the device to be in the market (from design conceptualization to decommissioning)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Enter number of estimated users here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Usages / user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Enter number of estimated times the device is used per user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Total usages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 the math!</w:t>
            </w:r>
          </w:p>
        </w:tc>
      </w:tr>
    </w:tbl>
    <w:bookmarkEnd w:id="22"/>
    <w:bookmarkStart w:id="23" w:name="severity-of-harm"/>
    <w:p>
      <w:pPr>
        <w:pStyle w:val="Heading4"/>
      </w:pPr>
      <w:r>
        <w:t xml:space="preserve">1.2.2 Severity of Harm</w:t>
      </w:r>
    </w:p>
    <w:p>
      <w:pPr>
        <w:pStyle w:val="BlockText"/>
      </w:pPr>
      <w:r>
        <w:t xml:space="preserve">Define what can go wrong with your product here. Make the examples specific - chances are, your product</w:t>
      </w:r>
      <w:r>
        <w:t xml:space="preserve"> </w:t>
      </w:r>
      <w:r>
        <w:t xml:space="preserve">can’t cause skin lacerations. In all likelihood it also doesn’t cause death. So, feel free to remove</w:t>
      </w:r>
      <w:r>
        <w:t xml:space="preserve"> </w:t>
      </w:r>
      <w:r>
        <w:t xml:space="preserve">severity rows here. But most importantly, customize the definitions and examples so that they resemble the</w:t>
      </w:r>
      <w:r>
        <w:t xml:space="preserve"> </w:t>
      </w:r>
      <w:r>
        <w:t xml:space="preserve">harms in your product.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40"/>
        <w:gridCol w:w="6779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Definition and Examples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S1: Negligible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Minor, reversible damage, e.g. superficial skin irritation, delay of non-critical treatment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S2: Marginal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Minor, reversible damage with required medical intervention, e.g. skin laceration requiring stitches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S3: Critical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Major, irreversible damage with required medical intervention, e.g. irreversible deterioration of disease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S4: Catastrophic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Death</w:t>
            </w:r>
          </w:p>
        </w:tc>
      </w:tr>
    </w:tbl>
    <w:bookmarkEnd w:id="23"/>
    <w:bookmarkStart w:id="24" w:name="probability-of-occurrence"/>
    <w:p>
      <w:pPr>
        <w:pStyle w:val="Heading4"/>
      </w:pPr>
      <w:r>
        <w:t xml:space="preserve">1.2.3 Probability of Occurrence</w:t>
      </w:r>
    </w:p>
    <w:p>
      <w:pPr>
        <w:pStyle w:val="BlockText"/>
      </w:pPr>
      <w:r>
        <w:t xml:space="preserve">Define your probabilities. You can probably just use these definitions. The idea is that each probability</w:t>
      </w:r>
      <w:r>
        <w:t xml:space="preserve"> </w:t>
      </w:r>
      <w:r>
        <w:t xml:space="preserve">row is 10^2 apart from adjacent ones.</w:t>
      </w:r>
    </w:p>
    <w:p>
      <w:pPr>
        <w:pStyle w:val="BlockText"/>
      </w:pPr>
      <w:r>
        <w:t xml:space="preserve">Also, change the</w:t>
      </w:r>
      <w:r>
        <w:t xml:space="preserve"> </w:t>
      </w:r>
      <w:r>
        <w:t xml:space="preserve">“</w:t>
      </w:r>
      <w:r>
        <w:t xml:space="preserve">Estimated Maximum Event Count</w:t>
      </w:r>
      <w:r>
        <w:t xml:space="preserve">”</w:t>
      </w:r>
      <w:r>
        <w:t xml:space="preserve">. That’s the usage number you estimate for your (not yet</w:t>
      </w:r>
      <w:r>
        <w:t xml:space="preserve"> </w:t>
      </w:r>
      <w:r>
        <w:t xml:space="preserve">released product) during its entire lifecycle (which you need to define). So, if you assume that your</w:t>
      </w:r>
      <w:r>
        <w:t xml:space="preserve"> </w:t>
      </w:r>
      <w:r>
        <w:t xml:space="preserve">product will be on the market for 4 years and that it’ll be used 100 times per day, that results in 146.100</w:t>
      </w:r>
      <w:r>
        <w:t xml:space="preserve"> </w:t>
      </w:r>
      <w:r>
        <w:t xml:space="preserve">usages (100 usages/day * 365.25 days/year * 4 years). The numbers in the lower columns of</w:t>
      </w:r>
      <w:r>
        <w:t xml:space="preserve"> </w:t>
      </w:r>
      <w:r>
        <w:t xml:space="preserve">“</w:t>
      </w:r>
      <w:r>
        <w:t xml:space="preserve">Estimated Maximum</w:t>
      </w:r>
      <w:r>
        <w:t xml:space="preserve"> </w:t>
      </w:r>
      <w:r>
        <w:t xml:space="preserve">Event Count</w:t>
      </w:r>
      <w:r>
        <w:t xml:space="preserve">”</w:t>
      </w:r>
      <w:r>
        <w:t xml:space="preserve"> </w:t>
      </w:r>
      <w:r>
        <w:t xml:space="preserve">are simply the total usage number multiplied by the upper limit probability of the same row,</w:t>
      </w:r>
      <w:r>
        <w:t xml:space="preserve"> </w:t>
      </w:r>
      <w:r>
        <w:t xml:space="preserve">e.g. you want to know</w:t>
      </w:r>
      <w:r>
        <w:t xml:space="preserve"> </w:t>
      </w:r>
      <w:r>
        <w:t xml:space="preserve">“</w:t>
      </w:r>
      <w:r>
        <w:t xml:space="preserve">how often can probability P3 occur if the product is being used 100 times per day?</w:t>
      </w:r>
      <w:r>
        <w:t xml:space="preserve">”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819"/>
        <w:gridCol w:w="1391"/>
        <w:gridCol w:w="1391"/>
        <w:gridCol w:w="3317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Upper Limit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Lower Limit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Estimated Maximum Event Count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P5: Certain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1000000</w:t>
            </w:r>
            <w:r>
              <w:t xml:space="preserve"> </w:t>
            </w:r>
            <w:r>
              <w:rPr>
                <w:iCs/>
                <w:i/>
              </w:rPr>
              <w:t xml:space="preserve">(change this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P4: 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P3: Unlikely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P2: Rare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P1: Unthinkable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10^-8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bookmarkEnd w:id="24"/>
    <w:bookmarkStart w:id="25" w:name="risk-acceptance-matrix"/>
    <w:p>
      <w:pPr>
        <w:pStyle w:val="Heading4"/>
      </w:pPr>
      <w:r>
        <w:t xml:space="preserve">1.2.4 Risk Acceptance Matrix</w:t>
      </w:r>
    </w:p>
    <w:p>
      <w:pPr>
        <w:pStyle w:val="BlockText"/>
      </w:pPr>
      <w:r>
        <w:t xml:space="preserve">The most important part. You assess each severity-probability combination whether it’s acceptable for you as</w:t>
      </w:r>
      <w:r>
        <w:t xml:space="preserve"> </w:t>
      </w:r>
      <w:r>
        <w:t xml:space="preserve">a company. There are no definitive rules on what’s deemed acceptable. It depends on your company’s risk</w:t>
      </w:r>
      <w:r>
        <w:t xml:space="preserve"> </w:t>
      </w:r>
      <w:r>
        <w:t xml:space="preserve">policy and, more importantly, the benefits of your product which you show in your clinical evaluation. So,</w:t>
      </w:r>
      <w:r>
        <w:t xml:space="preserve"> </w:t>
      </w:r>
      <w:r>
        <w:t xml:space="preserve">for example, if your product saves 10 lives per day, it might be acceptable to cause one death per day. If</w:t>
      </w:r>
      <w:r>
        <w:t xml:space="preserve"> </w:t>
      </w:r>
      <w:r>
        <w:t xml:space="preserve">your product doesn’t save any lives, it might not be acceptable to cause any deaths. You get the idea, I</w:t>
      </w:r>
      <w:r>
        <w:t xml:space="preserve"> </w:t>
      </w:r>
      <w:r>
        <w:t xml:space="preserve">hope.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141"/>
        <w:gridCol w:w="1073"/>
        <w:gridCol w:w="1208"/>
        <w:gridCol w:w="1208"/>
        <w:gridCol w:w="1208"/>
        <w:gridCol w:w="20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S1: Negligible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S2: Marginal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S3: Critical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S4: Catastrophic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Estimated Maximum Event Count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P5: Certain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P4: 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P3: Unlikely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P2: Rare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P1: Unthinkable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</w:tbl>
    <w:bookmarkEnd w:id="25"/>
    <w:bookmarkEnd w:id="26"/>
    <w:bookmarkStart w:id="27" w:name="verification-of-risk-control-measures"/>
    <w:p>
      <w:pPr>
        <w:pStyle w:val="Heading3"/>
      </w:pPr>
      <w:r>
        <w:t xml:space="preserve">1.3 Verification of Risk Control Measures</w:t>
      </w:r>
    </w:p>
    <w:p>
      <w:pPr>
        <w:pStyle w:val="FirstParagraph"/>
      </w:pPr>
      <w:r>
        <w:t xml:space="preserve">Risk Control Measures are verified as described in the software development lifecycle as described in SOP</w:t>
      </w:r>
      <w:r>
        <w:t xml:space="preserve"> </w:t>
      </w:r>
      <w:r>
        <w:t xml:space="preserve">Integrated Software Development.</w:t>
      </w:r>
    </w:p>
    <w:bookmarkEnd w:id="27"/>
    <w:bookmarkStart w:id="28" w:name="assessment-of-the-overall-residual-risk"/>
    <w:p>
      <w:pPr>
        <w:pStyle w:val="Heading3"/>
      </w:pPr>
      <w:r>
        <w:t xml:space="preserve">1.4 Assessment of the overall residual risk</w:t>
      </w:r>
    </w:p>
    <w:p>
      <w:pPr>
        <w:pStyle w:val="FirstParagraph"/>
      </w:pPr>
      <w:r>
        <w:t xml:space="preserve">After determination of the Risk Control Measures any risk that could arise from the combination of the</w:t>
      </w:r>
      <w:r>
        <w:t xml:space="preserve"> </w:t>
      </w:r>
      <w:r>
        <w:t xml:space="preserve">individual risks or mitigating measures is assessed. For this purpose, the probability and severity of the</w:t>
      </w:r>
      <w:r>
        <w:t xml:space="preserve"> </w:t>
      </w:r>
      <w:r>
        <w:t xml:space="preserve">possible residual risk are estimated and evaluated using the existing risk matrix.</w:t>
      </w:r>
    </w:p>
    <w:bookmarkEnd w:id="28"/>
    <w:bookmarkStart w:id="29" w:name="Xa2178bb32f9001978b025ebc838070f18b723ea"/>
    <w:p>
      <w:pPr>
        <w:pStyle w:val="Heading3"/>
      </w:pPr>
      <w:r>
        <w:t xml:space="preserve">1.5 Collection and Review of Post-Production Information</w:t>
      </w:r>
    </w:p>
    <w:p>
      <w:pPr>
        <w:pStyle w:val="FirstParagraph"/>
      </w:pPr>
      <w:r>
        <w:t xml:space="preserve">Review and collection of Post-Production information is described in SOP Post-Market Surveillance.</w:t>
      </w:r>
    </w:p>
    <w:bookmarkEnd w:id="29"/>
    <w:bookmarkEnd w:id="30"/>
    <w:bookmarkStart w:id="31" w:name="related-documents"/>
    <w:p>
      <w:pPr>
        <w:pStyle w:val="Heading2"/>
      </w:pPr>
      <w:r>
        <w:t xml:space="preserve">2. Related Documents</w:t>
      </w:r>
    </w:p>
    <w:p>
      <w:pPr>
        <w:numPr>
          <w:ilvl w:val="0"/>
          <w:numId w:val="1002"/>
        </w:numPr>
        <w:pStyle w:val="Compact"/>
      </w:pPr>
      <w:r>
        <w:t xml:space="preserve">SOP Integrated Software Development</w:t>
      </w:r>
    </w:p>
    <w:p>
      <w:pPr>
        <w:numPr>
          <w:ilvl w:val="0"/>
          <w:numId w:val="1002"/>
        </w:numPr>
        <w:pStyle w:val="Compact"/>
      </w:pPr>
      <w:r>
        <w:t xml:space="preserve">Risk Acceptance Matrix</w:t>
      </w:r>
    </w:p>
    <w:p>
      <w:pPr>
        <w:numPr>
          <w:ilvl w:val="0"/>
          <w:numId w:val="1002"/>
        </w:numPr>
        <w:pStyle w:val="Compact"/>
      </w:pPr>
      <w:r>
        <w:t xml:space="preserve">Risk Table</w:t>
      </w:r>
    </w:p>
    <w:p>
      <w:pPr>
        <w:numPr>
          <w:ilvl w:val="0"/>
          <w:numId w:val="1002"/>
        </w:numPr>
        <w:pStyle w:val="Compact"/>
      </w:pPr>
      <w:r>
        <w:t xml:space="preserve">Risk Management Report</w:t>
      </w:r>
    </w:p>
    <w:bookmarkEnd w:id="31"/>
    <w:bookmarkStart w:id="34" w:name="roles"/>
    <w:p>
      <w:pPr>
        <w:pStyle w:val="Heading2"/>
      </w:pPr>
      <w:r>
        <w:t xml:space="preserve">3. Roles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Name(s)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Manager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Context / Subject Matter Expert, e.g. physician</w:t>
            </w: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3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3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2" Target="https://openregulatory.com" TargetMode="External" /><Relationship Type="http://schemas.openxmlformats.org/officeDocument/2006/relationships/hyperlink" Id="rId3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2024-04-25T13:02:04Z</dcterms:created>
  <dcterms:modified xsi:type="dcterms:W3CDTF">2024-04-25T13:02:04Z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