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risk-management-report"/>
    <w:p>
      <w:pPr>
        <w:pStyle w:val="Heading1"/>
      </w:pPr>
      <w:r>
        <w:t xml:space="preserve">Risk Management Report</w:t>
      </w:r>
    </w:p>
    <w:p>
      <w:pPr>
        <w:pStyle w:val="FirstParagraph"/>
      </w:pPr>
      <w:r>
        <w:t xml:space="preserve">The Risk Management Report contains the output and summary of risk management activities. The general planning</w:t>
      </w:r>
      <w:r>
        <w:t xml:space="preserve"> </w:t>
      </w:r>
      <w:r>
        <w:t xml:space="preserve">and methods are described in the Risk Management plan, while the actual risks are listed and analyzed in the</w:t>
      </w:r>
      <w:r>
        <w:t xml:space="preserve"> </w:t>
      </w:r>
      <w:r>
        <w:t xml:space="preserve">Risk Table.</w:t>
      </w:r>
    </w:p>
    <w:p>
      <w:pPr>
        <w:pStyle w:val="BodyText"/>
      </w:pPr>
      <w:r>
        <w:t xml:space="preserve">The process and stages of risk analysis are described in the SOP Integrated Software Development.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4.5 Risk management file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7.4 Benefit-risk analysis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7.6 Completeness of risk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(by review of this document)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 Evaluation of overall residual risk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 Risk management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relevant-processes-and-documents"/>
    <w:p>
      <w:pPr>
        <w:pStyle w:val="Heading2"/>
      </w:pPr>
      <w:r>
        <w:t xml:space="preserve">1. Relevant Processes and Documents</w:t>
      </w:r>
    </w:p>
    <w:p>
      <w:pPr>
        <w:numPr>
          <w:ilvl w:val="0"/>
          <w:numId w:val="1001"/>
        </w:numPr>
        <w:pStyle w:val="Compact"/>
      </w:pPr>
      <w:r>
        <w:t xml:space="preserve">SOP Integrated Software Development</w:t>
      </w:r>
    </w:p>
    <w:p>
      <w:pPr>
        <w:numPr>
          <w:ilvl w:val="0"/>
          <w:numId w:val="1001"/>
        </w:numPr>
        <w:pStyle w:val="Compact"/>
      </w:pPr>
      <w:r>
        <w:t xml:space="preserve">Risk Management Plan</w:t>
      </w:r>
    </w:p>
    <w:p>
      <w:pPr>
        <w:numPr>
          <w:ilvl w:val="0"/>
          <w:numId w:val="1001"/>
        </w:numPr>
        <w:pStyle w:val="Compact"/>
      </w:pPr>
      <w:r>
        <w:t xml:space="preserve">Risk Acceptance Matrix</w:t>
      </w:r>
    </w:p>
    <w:p>
      <w:pPr>
        <w:numPr>
          <w:ilvl w:val="0"/>
          <w:numId w:val="1001"/>
        </w:numPr>
        <w:pStyle w:val="Compact"/>
      </w:pPr>
      <w:r>
        <w:t xml:space="preserve">Risk Table</w:t>
      </w:r>
    </w:p>
    <w:bookmarkEnd w:id="21"/>
    <w:bookmarkStart w:id="25" w:name="risk-analysis"/>
    <w:p>
      <w:pPr>
        <w:pStyle w:val="Heading2"/>
      </w:pPr>
      <w:r>
        <w:t xml:space="preserve">2. Risk Analysis</w:t>
      </w:r>
    </w:p>
    <w:p>
      <w:pPr>
        <w:pStyle w:val="BlockText"/>
      </w:pPr>
      <w:r>
        <w:t xml:space="preserve">The general idea about this section is that you simply summarize the amount of stuff you added to your Risk</w:t>
      </w:r>
      <w:r>
        <w:t xml:space="preserve"> </w:t>
      </w:r>
      <w:r>
        <w:t xml:space="preserve">Table (a separate document).</w:t>
      </w:r>
    </w:p>
    <w:bookmarkStart w:id="22" w:name="preliminary-hazards-analysis"/>
    <w:p>
      <w:pPr>
        <w:pStyle w:val="Heading3"/>
      </w:pPr>
      <w:r>
        <w:t xml:space="preserve">2.1 Preliminary Hazards Analysis</w:t>
      </w:r>
    </w:p>
    <w:p>
      <w:pPr>
        <w:pStyle w:val="FirstParagraph"/>
      </w:pPr>
      <w:r>
        <w:rPr>
          <w:iCs/>
          <w:i/>
        </w:rPr>
        <w:t xml:space="preserve">&lt;no. of hazards&gt;</w:t>
      </w:r>
      <w:r>
        <w:t xml:space="preserve"> </w:t>
      </w:r>
      <w:r>
        <w:t xml:space="preserve">hazards were identified based on the Intended Use and Usability Tests. They were further</w:t>
      </w:r>
      <w:r>
        <w:t xml:space="preserve"> </w:t>
      </w:r>
      <w:r>
        <w:t xml:space="preserve">analyzed in the Risk Table.</w:t>
      </w:r>
    </w:p>
    <w:bookmarkEnd w:id="22"/>
    <w:bookmarkStart w:id="23" w:name="failure-modes"/>
    <w:p>
      <w:pPr>
        <w:pStyle w:val="Heading3"/>
      </w:pPr>
      <w:r>
        <w:t xml:space="preserve">2.2 Failure Modes</w:t>
      </w:r>
    </w:p>
    <w:p>
      <w:pPr>
        <w:pStyle w:val="FirstParagraph"/>
      </w:pPr>
      <w:r>
        <w:rPr>
          <w:iCs/>
          <w:i/>
        </w:rPr>
        <w:t xml:space="preserve">&lt;no. of failure modes&gt;</w:t>
      </w:r>
      <w:r>
        <w:t xml:space="preserve"> </w:t>
      </w:r>
      <w:r>
        <w:t xml:space="preserve">failure modes of software systems were identified. They were further analyzed in</w:t>
      </w:r>
      <w:r>
        <w:t xml:space="preserve"> </w:t>
      </w:r>
      <w:r>
        <w:t xml:space="preserve">the Risk Table.</w:t>
      </w:r>
    </w:p>
    <w:bookmarkEnd w:id="23"/>
    <w:bookmarkStart w:id="24" w:name="failure-mode-and-effects-analysis-fmea"/>
    <w:p>
      <w:pPr>
        <w:pStyle w:val="Heading3"/>
      </w:pPr>
      <w:r>
        <w:t xml:space="preserve">2.3 Failure Mode and Effects Analysis (FMEA)</w:t>
      </w:r>
    </w:p>
    <w:p>
      <w:pPr>
        <w:pStyle w:val="FirstParagraph"/>
      </w:pPr>
      <w:r>
        <w:t xml:space="preserve">All preliminary hazards and potential failure modes of the software were analyzed. In total,</w:t>
      </w:r>
      <w:r>
        <w:t xml:space="preserve"> </w:t>
      </w:r>
      <w:r>
        <w:rPr>
          <w:iCs/>
          <w:i/>
        </w:rPr>
        <w:t xml:space="preserve">&lt;no. of</w:t>
      </w:r>
      <w:r>
        <w:rPr>
          <w:iCs/>
          <w:i/>
        </w:rPr>
        <w:t xml:space="preserve"> </w:t>
      </w:r>
      <w:r>
        <w:rPr>
          <w:iCs/>
          <w:i/>
        </w:rPr>
        <w:t xml:space="preserve">hazards&gt;</w:t>
      </w:r>
      <w:r>
        <w:t xml:space="preserve"> </w:t>
      </w:r>
      <w:r>
        <w:t xml:space="preserve">were identified. The hazardous situation(s) and harm(s) which they could lead to were analyzed,</w:t>
      </w:r>
      <w:r>
        <w:t xml:space="preserve"> </w:t>
      </w:r>
      <w:r>
        <w:t xml:space="preserve">including intermediate probabilities (p1 and p2).</w:t>
      </w:r>
    </w:p>
    <w:bookmarkEnd w:id="24"/>
    <w:bookmarkEnd w:id="25"/>
    <w:bookmarkStart w:id="26" w:name="risk-control-measures"/>
    <w:p>
      <w:pPr>
        <w:pStyle w:val="Heading2"/>
      </w:pPr>
      <w:r>
        <w:t xml:space="preserve">3. Risk Control Measures</w:t>
      </w:r>
    </w:p>
    <w:p>
      <w:pPr>
        <w:pStyle w:val="FirstParagraph"/>
      </w:pPr>
      <w:r>
        <w:t xml:space="preserve">Risks were reduced as far as possible (AFAP). If a risk was classified as</w:t>
      </w:r>
      <w:r>
        <w:t xml:space="preserve"> </w:t>
      </w:r>
      <w:r>
        <w:t xml:space="preserve">“</w:t>
      </w:r>
      <w:r>
        <w:t xml:space="preserve">unacceptable</w:t>
      </w:r>
      <w:r>
        <w:t xml:space="preserve">”</w:t>
      </w:r>
      <w:r>
        <w:t xml:space="preserve"> </w:t>
      </w:r>
      <w:r>
        <w:t xml:space="preserve">based on</w:t>
      </w:r>
      <w:r>
        <w:t xml:space="preserve"> </w:t>
      </w:r>
      <w:r>
        <w:t xml:space="preserve">the Risk Table, Risk Control Measures were implemented.</w:t>
      </w:r>
    </w:p>
    <w:p>
      <w:pPr>
        <w:pStyle w:val="BodyText"/>
      </w:pPr>
      <w:r>
        <w:t xml:space="preserve">The following categories of Risk Control Measures were implemented in priority as listed below:</w:t>
      </w:r>
    </w:p>
    <w:p>
      <w:pPr>
        <w:numPr>
          <w:ilvl w:val="0"/>
          <w:numId w:val="1002"/>
        </w:numPr>
        <w:pStyle w:val="Compact"/>
      </w:pPr>
      <w:r>
        <w:t xml:space="preserve">Inherent safety by design</w:t>
      </w:r>
    </w:p>
    <w:p>
      <w:pPr>
        <w:numPr>
          <w:ilvl w:val="0"/>
          <w:numId w:val="1002"/>
        </w:numPr>
        <w:pStyle w:val="Compact"/>
      </w:pPr>
      <w:r>
        <w:t xml:space="preserve">Protective measures</w:t>
      </w:r>
    </w:p>
    <w:p>
      <w:pPr>
        <w:numPr>
          <w:ilvl w:val="0"/>
          <w:numId w:val="1002"/>
        </w:numPr>
        <w:pStyle w:val="Compact"/>
      </w:pPr>
      <w:r>
        <w:t xml:space="preserve">Information for safety</w:t>
      </w:r>
    </w:p>
    <w:p>
      <w:pPr>
        <w:pStyle w:val="FirstParagraph"/>
      </w:pPr>
      <w:r>
        <w:t xml:space="preserve">In total,</w:t>
      </w:r>
      <w:r>
        <w:t xml:space="preserve"> </w:t>
      </w:r>
      <w:r>
        <w:rPr>
          <w:iCs/>
          <w:i/>
        </w:rPr>
        <w:t xml:space="preserve">&lt;no. of risk control measures&gt;</w:t>
      </w:r>
      <w:r>
        <w:t xml:space="preserve"> </w:t>
      </w:r>
      <w:r>
        <w:t xml:space="preserve">were implemented.</w:t>
      </w:r>
    </w:p>
    <w:bookmarkEnd w:id="26"/>
    <w:bookmarkStart w:id="27" w:name="risk-matrix"/>
    <w:p>
      <w:pPr>
        <w:pStyle w:val="Heading2"/>
      </w:pPr>
      <w:r>
        <w:t xml:space="preserve">4. Risk Matrix</w:t>
      </w:r>
    </w:p>
    <w:p>
      <w:pPr>
        <w:pStyle w:val="FirstParagraph"/>
      </w:pPr>
      <w:r>
        <w:t xml:space="preserve">After implementation and verification of all Risk Control Measures, the count of risks in the Risk Acceptance</w:t>
      </w:r>
      <w:r>
        <w:t xml:space="preserve"> </w:t>
      </w:r>
      <w:r>
        <w:t xml:space="preserve">Matrix was as follows: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894"/>
        <w:gridCol w:w="1021"/>
        <w:gridCol w:w="1341"/>
        <w:gridCol w:w="1341"/>
        <w:gridCol w:w="1341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S1: Negligible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S2: Marginal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S3: Critical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S4: Catastrophic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Estimated Maximum Event Count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P5: Certain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P4: 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P3: Possible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P2: Unlikely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P1: Rare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acceptable: 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bookmarkEnd w:id="27"/>
    <w:bookmarkStart w:id="28" w:name="summary-of-risks-and-unacceptable-risks"/>
    <w:p>
      <w:pPr>
        <w:pStyle w:val="Heading2"/>
      </w:pPr>
      <w:r>
        <w:t xml:space="preserve">5. Summary of Risks and Unacceptable Risks</w:t>
      </w:r>
    </w:p>
    <w:p>
      <w:pPr>
        <w:pStyle w:val="BlockText"/>
      </w:pPr>
      <w:r>
        <w:t xml:space="preserve">If you don’t have unacceptable risks (more likely), use this section:</w:t>
      </w:r>
    </w:p>
    <w:p>
      <w:pPr>
        <w:pStyle w:val="FirstParagraph"/>
      </w:pPr>
      <w:r>
        <w:t xml:space="preserve">After Risk Control Measures, no unacceptable risks remained. The software, therefore, fulfils the specifications</w:t>
      </w:r>
      <w:r>
        <w:t xml:space="preserve"> </w:t>
      </w:r>
      <w:r>
        <w:t xml:space="preserve">of the defined risk policy and is safe. A Benefit-Risk Assessment is not required.</w:t>
      </w:r>
    </w:p>
    <w:p>
      <w:pPr>
        <w:pStyle w:val="BlockText"/>
      </w:pPr>
      <w:r>
        <w:t xml:space="preserve">If you still have unacceptable risks, use this section:</w:t>
      </w:r>
    </w:p>
    <w:p>
      <w:pPr>
        <w:pStyle w:val="FirstParagraph"/>
      </w:pPr>
      <w:r>
        <w:t xml:space="preserve">After Risk Control Measures,</w:t>
      </w:r>
      <w:r>
        <w:t xml:space="preserve"> </w:t>
      </w:r>
      <w:r>
        <w:rPr>
          <w:iCs/>
          <w:i/>
        </w:rPr>
        <w:t xml:space="preserve">&lt;no. of unacceptable risks&gt;</w:t>
      </w:r>
      <w:r>
        <w:t xml:space="preserve"> </w:t>
      </w:r>
      <w:r>
        <w:t xml:space="preserve">unacceptable risks remained. They will be further</w:t>
      </w:r>
      <w:r>
        <w:t xml:space="preserve"> </w:t>
      </w:r>
      <w:r>
        <w:t xml:space="preserve">assessed in the Benefit-Risk Assessment below.</w:t>
      </w:r>
    </w:p>
    <w:p>
      <w:pPr>
        <w:pStyle w:val="BlockText"/>
      </w:pPr>
      <w:r>
        <w:t xml:space="preserve">Optionally, mention here your device’s software safety classification according to IEC 62304, resulting from the worst possible risks found above.</w:t>
      </w:r>
    </w:p>
    <w:bookmarkEnd w:id="28"/>
    <w:bookmarkStart w:id="29" w:name="benefit-risk-assessment"/>
    <w:p>
      <w:pPr>
        <w:pStyle w:val="Heading2"/>
      </w:pPr>
      <w:r>
        <w:t xml:space="preserve">6. Benefit-Risk Assessment</w:t>
      </w:r>
    </w:p>
    <w:p>
      <w:pPr>
        <w:pStyle w:val="BlockText"/>
      </w:pPr>
      <w:r>
        <w:t xml:space="preserve">Only use this whole section (Risk-Benefit Assessment) if you have unacceptable risks.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&lt;no. of unacceptable risks&gt;</w:t>
      </w:r>
      <w:r>
        <w:t xml:space="preserve"> </w:t>
      </w:r>
      <w:r>
        <w:t xml:space="preserve">remaining unacceptable risks are compared to the benefits resulting from</w:t>
      </w:r>
      <w:r>
        <w:t xml:space="preserve"> </w:t>
      </w:r>
      <w:r>
        <w:t xml:space="preserve">the Clinical Evaluation Report.</w:t>
      </w:r>
    </w:p>
    <w:p>
      <w:pPr>
        <w:pStyle w:val="BodyText"/>
      </w:pPr>
      <w:r>
        <w:t xml:space="preserve">The benefits are as follows:</w:t>
      </w:r>
    </w:p>
    <w:p>
      <w:pPr>
        <w:pStyle w:val="BodyText"/>
      </w:pPr>
      <w:r>
        <w:rPr>
          <w:iCs/>
          <w:i/>
        </w:rPr>
        <w:t xml:space="preserve">&lt;Copy-paste benefits from Clinical Evaluation&gt;</w:t>
      </w:r>
    </w:p>
    <w:p>
      <w:pPr>
        <w:pStyle w:val="BlockText"/>
      </w:pPr>
      <w:r>
        <w:t xml:space="preserve">Add a conclusion on whether the benefits outweigh the risks</w:t>
      </w:r>
    </w:p>
    <w:p>
      <w:pPr>
        <w:pStyle w:val="FirstParagraph"/>
      </w:pPr>
      <w:r>
        <w:t xml:space="preserve">Weighing the benefits against the risks, we conclude that…</w:t>
      </w:r>
    </w:p>
    <w:bookmarkEnd w:id="29"/>
    <w:bookmarkStart w:id="32" w:name="overall-residual-risk"/>
    <w:p>
      <w:pPr>
        <w:pStyle w:val="Heading2"/>
      </w:pPr>
      <w:r>
        <w:t xml:space="preserve">7. Overall Residual Risk</w:t>
      </w:r>
    </w:p>
    <w:p>
      <w:pPr>
        <w:pStyle w:val="BlockText"/>
      </w:pPr>
      <w:r>
        <w:t xml:space="preserve">Take a look at your risk mitigating measures and assess whether the combination of them could lead to a risk that has not been taken care of yet, e.g., if one mitigation serves two or more risks at once.</w:t>
      </w:r>
    </w:p>
    <w:p>
      <w:pPr>
        <w:pStyle w:val="FirstParagraph"/>
      </w:pPr>
      <w:r>
        <w:t xml:space="preserve">The overall residual risk is estimated to have a probability of</w:t>
      </w:r>
      <w:r>
        <w:t xml:space="preserve"> </w:t>
      </w:r>
      <w:r>
        <w:rPr>
          <w:iCs/>
          <w:i/>
        </w:rPr>
        <w:t xml:space="preserve">&lt;probability of residual risk&gt;</w:t>
      </w:r>
      <w:r>
        <w:t xml:space="preserve"> </w:t>
      </w:r>
      <w:r>
        <w:t xml:space="preserve">and a severity of</w:t>
      </w:r>
      <w:r>
        <w:t xml:space="preserve"> </w:t>
      </w:r>
      <w:r>
        <w:rPr>
          <w:iCs/>
          <w:i/>
        </w:rPr>
        <w:t xml:space="preserve">&lt;severity of residual risk&gt;</w:t>
      </w:r>
      <w:r>
        <w:t xml:space="preserve">. According to the Risk Acceptance Matrix the overall residual risk is assessed as</w:t>
      </w:r>
      <w:r>
        <w:t xml:space="preserve"> </w:t>
      </w:r>
      <w:r>
        <w:rPr>
          <w:iCs/>
          <w:i/>
        </w:rPr>
        <w:t xml:space="preserve">&lt;acceptable&gt;</w:t>
      </w:r>
      <w:r>
        <w:t xml:space="preserve">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2024-04-23T07:25:49Z</dcterms:created>
  <dcterms:modified xsi:type="dcterms:W3CDTF">2024-04-23T07:25:49Z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