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7" w:name="sop-software-problem-resolution"/>
    <w:p>
      <w:pPr>
        <w:pStyle w:val="Heading1"/>
      </w:pPr>
      <w:r>
        <w:t xml:space="preserve">SOP Software Problem Resolution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Classes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IEC 62304:2006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5.6.8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6.2.1.3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6.2.2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</w:tbl>
    <w:bookmarkStart w:id="20" w:name="summary"/>
    <w:p>
      <w:pPr>
        <w:pStyle w:val="Heading2"/>
      </w:pPr>
      <w:r>
        <w:t xml:space="preserve">Summary</w:t>
      </w:r>
    </w:p>
    <w:p>
      <w:pPr>
        <w:pStyle w:val="FirstParagraph"/>
      </w:pPr>
      <w:r>
        <w:t xml:space="preserve">This SOP describes how problems concerning our software product(s) are processed, evaluated and fixed.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2816"/>
        <w:gridCol w:w="5104"/>
      </w:tblGrid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Process Owner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&lt;enter role of process owner&gt;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Key Performance Indicators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&lt;enter KPIs to be tracked for the Management Review&gt;</w:t>
            </w:r>
          </w:p>
        </w:tc>
      </w:tr>
    </w:tbl>
    <w:bookmarkEnd w:id="20"/>
    <w:bookmarkStart w:id="26" w:name="process-steps"/>
    <w:p>
      <w:pPr>
        <w:pStyle w:val="Heading2"/>
      </w:pPr>
      <w:r>
        <w:t xml:space="preserve">Process Steps</w:t>
      </w:r>
    </w:p>
    <w:bookmarkStart w:id="21" w:name="new-problem-evaluation"/>
    <w:p>
      <w:pPr>
        <w:pStyle w:val="Heading3"/>
      </w:pPr>
      <w:r>
        <w:t xml:space="preserve">1. New Problem Evaluation</w:t>
      </w:r>
    </w:p>
    <w:p>
      <w:pPr>
        <w:pStyle w:val="FirstParagraph"/>
      </w:pPr>
      <w:r>
        <w:t xml:space="preserve">New problems are entered as tickets into</w:t>
      </w:r>
      <w:r>
        <w:t xml:space="preserve"> </w:t>
      </w:r>
      <w:r>
        <w:rPr>
          <w:iCs/>
          <w:i/>
        </w:rPr>
        <w:t xml:space="preserve">&lt;your ticketing system&gt;</w:t>
      </w:r>
      <w:r>
        <w:t xml:space="preserve">.</w:t>
      </w:r>
    </w:p>
    <w:p>
      <w:pPr>
        <w:pStyle w:val="BodyText"/>
      </w:pPr>
      <w:r>
        <w:t xml:space="preserve">Reported problems can originate from customers, users or company employees. Examples include customer feedback</w:t>
      </w:r>
      <w:r>
        <w:t xml:space="preserve"> </w:t>
      </w:r>
      <w:r>
        <w:t xml:space="preserve">and bug reports.</w:t>
      </w:r>
    </w:p>
    <w:p>
      <w:pPr>
        <w:pStyle w:val="BodyText"/>
      </w:pPr>
      <w:r>
        <w:t xml:space="preserve">For each problem report, the following must be entered:</w:t>
      </w:r>
    </w:p>
    <w:p>
      <w:pPr>
        <w:numPr>
          <w:ilvl w:val="0"/>
          <w:numId w:val="1001"/>
        </w:numPr>
        <w:pStyle w:val="Compact"/>
      </w:pPr>
      <w:r>
        <w:t xml:space="preserve">Affected medical device and version</w:t>
      </w:r>
    </w:p>
    <w:p>
      <w:pPr>
        <w:numPr>
          <w:ilvl w:val="0"/>
          <w:numId w:val="1001"/>
        </w:numPr>
        <w:pStyle w:val="Compact"/>
      </w:pPr>
      <w:r>
        <w:t xml:space="preserve">Severity classification (see below)</w:t>
      </w:r>
    </w:p>
    <w:p>
      <w:pPr>
        <w:numPr>
          <w:ilvl w:val="0"/>
          <w:numId w:val="1001"/>
        </w:numPr>
        <w:pStyle w:val="Compact"/>
      </w:pPr>
      <w:r>
        <w:t xml:space="preserve">Problem description incl. instructions to reproduce</w:t>
      </w:r>
    </w:p>
    <w:p>
      <w:pPr>
        <w:pStyle w:val="FirstParagraph"/>
      </w:pPr>
      <w:r>
        <w:t xml:space="preserve">We classify the severity of problems in the following categories: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2175"/>
        <w:gridCol w:w="574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Severity Classification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Causes new or changed risks to patients which are unacceptable.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May cause new or changed risks to patients which are acceptable.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All other problems.</w:t>
            </w:r>
          </w:p>
        </w:tc>
      </w:tr>
    </w:tbl>
    <w:p>
      <w:pPr>
        <w:pStyle w:val="BodyText"/>
      </w:pPr>
      <w:r>
        <w:t xml:space="preserve">For all problems classified as</w:t>
      </w:r>
      <w:r>
        <w:t xml:space="preserve"> </w:t>
      </w:r>
      <w:r>
        <w:t xml:space="preserve">“</w:t>
      </w:r>
      <w:r>
        <w:t xml:space="preserve">Medium</w:t>
      </w:r>
      <w:r>
        <w:t xml:space="preserve">”</w:t>
      </w:r>
      <w:r>
        <w:t xml:space="preserve"> </w:t>
      </w:r>
      <w:r>
        <w:t xml:space="preserve">or higher the person responsible for regulatory compliance (PRRC) must</w:t>
      </w:r>
      <w:r>
        <w:t xml:space="preserve"> </w:t>
      </w:r>
      <w:r>
        <w:t xml:space="preserve">be informed who subsequently assesses it according to the SOP Vigilance.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792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Head of product development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Person responsible for regulatory compliance</w:t>
            </w:r>
          </w:p>
        </w:tc>
      </w:tr>
    </w:tbl>
    <w:p/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1470"/>
        <w:gridCol w:w="6449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New problem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Problem report as</w:t>
            </w:r>
            <w:r>
              <w:t xml:space="preserve"> </w:t>
            </w:r>
            <w:r>
              <w:rPr>
                <w:iCs/>
                <w:i/>
              </w:rPr>
              <w:t xml:space="preserve">&lt;ticket in your ticketing system&gt;</w:t>
            </w:r>
          </w:p>
        </w:tc>
      </w:tr>
    </w:tbl>
    <w:bookmarkEnd w:id="21"/>
    <w:bookmarkStart w:id="22" w:name="root-cause-analysis-and-procedure"/>
    <w:p>
      <w:pPr>
        <w:pStyle w:val="Heading3"/>
      </w:pPr>
      <w:r>
        <w:t xml:space="preserve">2. Root Cause Analysis and Procedure</w:t>
      </w:r>
    </w:p>
    <w:p>
      <w:pPr>
        <w:pStyle w:val="FirstParagraph"/>
      </w:pPr>
      <w:r>
        <w:t xml:space="preserve">The root cause of the problem is determined (if possible) and a decision is made whether to fix it or not.</w:t>
      </w:r>
    </w:p>
    <w:p>
      <w:pPr>
        <w:pStyle w:val="BodyText"/>
      </w:pPr>
      <w:r>
        <w:t xml:space="preserve">We also analyze whether similar problems have occurred in the past and any trends can be discerned. If this is</w:t>
      </w:r>
      <w:r>
        <w:t xml:space="preserve"> </w:t>
      </w:r>
      <w:r>
        <w:t xml:space="preserve">the case, it is noted in the problem report.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792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Head of software development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Software developer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Problem report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Problem report updated with cause and procedure</w:t>
            </w:r>
          </w:p>
        </w:tc>
      </w:tr>
    </w:tbl>
    <w:bookmarkEnd w:id="22"/>
    <w:bookmarkStart w:id="25" w:name="implementation-and-verification"/>
    <w:p>
      <w:pPr>
        <w:pStyle w:val="Heading3"/>
      </w:pPr>
      <w:r>
        <w:t xml:space="preserve">3. Implementation and Verification</w:t>
      </w:r>
    </w:p>
    <w:p>
      <w:pPr>
        <w:pStyle w:val="FirstParagraph"/>
      </w:pPr>
      <w:r>
        <w:t xml:space="preserve">The bug fix is implemented. If the fix includes a change to an existing product, it is handled according to</w:t>
      </w:r>
      <w:r>
        <w:t xml:space="preserve"> </w:t>
      </w:r>
      <w:r>
        <w:t xml:space="preserve">SOP Change Management.</w:t>
      </w:r>
    </w:p>
    <w:p>
      <w:pPr>
        <w:pStyle w:val="BodyText"/>
      </w:pPr>
      <w:r>
        <w:t xml:space="preserve">After the bug fix has been implemented, the problem report is reviewed whether it has been successfully fixed</w:t>
      </w:r>
      <w:r>
        <w:t xml:space="preserve"> </w:t>
      </w:r>
      <w:r>
        <w:t xml:space="preserve">and can be closed. Closing the problem report is equivalent to successful verification.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792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Head of product development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Person responsible for regulatory compliance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Problem report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Resolved/closed problem report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Implemented change</w:t>
            </w:r>
          </w:p>
        </w:tc>
        <w:tc>
          <w:tcPr/>
          <w:p>
            <w:pPr>
              <w:pStyle w:val="Compact"/>
            </w:pP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3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4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5"/>
    <w:bookmarkEnd w:id="26"/>
    <w:bookmarkEnd w:id="27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3" Target="https://openregulatory.com" TargetMode="External" /><Relationship Type="http://schemas.openxmlformats.org/officeDocument/2006/relationships/hyperlink" Id="rId24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3" Target="https://openregulatory.com" TargetMode="External" /><Relationship Type="http://schemas.openxmlformats.org/officeDocument/2006/relationships/hyperlink" Id="rId24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2024-04-23T07:25:50Z</dcterms:created>
  <dcterms:modified xsi:type="dcterms:W3CDTF">2024-04-23T07:25:50Z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