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soup-list-software-of-unknown-provenance"/>
    <w:p>
      <w:pPr>
        <w:pStyle w:val="Heading1"/>
      </w:pPr>
      <w:r>
        <w:t xml:space="preserve">SOUP List (Software of Unknown Provenance)</w:t>
      </w:r>
    </w:p>
    <w:p>
      <w:pPr>
        <w:pStyle w:val="BlockText"/>
      </w:pPr>
      <w:r>
        <w:t xml:space="preserve">The 62304 requires you to document your SOUP, which is short for Software of Unknown Provenance. In human</w:t>
      </w:r>
      <w:r>
        <w:t xml:space="preserve"> </w:t>
      </w:r>
      <w:r>
        <w:t xml:space="preserve">language, those are the third-party libraries you’re using in your code, typically in your</w:t>
      </w:r>
      <w:r>
        <w:t xml:space="preserve"> </w:t>
      </w:r>
      <w:r>
        <w:rPr>
          <w:rStyle w:val="VerbatimChar"/>
        </w:rPr>
        <w:t xml:space="preserve">requirements.txt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Gemfile</w:t>
      </w:r>
      <w:r>
        <w:t xml:space="preserve">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937"/>
        <w:gridCol w:w="5106"/>
        <w:gridCol w:w="187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5.3.3 (Functional and Performance Requirements)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5.3.4 (Hardware and Software Requirements)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7.1.2 (Hazardous Situations)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7.1.3 (SOUP Anomaly Lists)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8.1.2 (Identify SOUP)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bookmarkStart w:id="20" w:name="risk-level-definitions"/>
    <w:p>
      <w:pPr>
        <w:pStyle w:val="Heading2"/>
      </w:pPr>
      <w:r>
        <w:t xml:space="preserve">1 Risk Level Definitions</w:t>
      </w:r>
    </w:p>
    <w:p>
      <w:pPr>
        <w:pStyle w:val="BlockText"/>
      </w:pPr>
      <w:r>
        <w:t xml:space="preserve">The 62304 requires you to assess risks associated with SOUP. The simplest way to do this is to classify each</w:t>
      </w:r>
      <w:r>
        <w:t xml:space="preserve"> </w:t>
      </w:r>
      <w:r>
        <w:t xml:space="preserve">SOUP as a certain risk level. Unless you’re developing software which shoots radiation at patients, it’s</w:t>
      </w:r>
      <w:r>
        <w:t xml:space="preserve"> </w:t>
      </w:r>
      <w:r>
        <w:t xml:space="preserve">likely that your SOUP risk levels remain</w:t>
      </w:r>
      <w:r>
        <w:t xml:space="preserve"> </w:t>
      </w:r>
      <w:r>
        <w:t xml:space="preserve">“</w:t>
      </w:r>
      <w:r>
        <w:t xml:space="preserve">low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medium</w:t>
      </w:r>
      <w:r>
        <w:t xml:space="preserve">”</w:t>
      </w:r>
      <w:r>
        <w:t xml:space="preserve">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320"/>
        <w:gridCol w:w="660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Risk Level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Malfunction in SOUP can’t lead to patient harm.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Malfunction in SOUP can lead to reversible patient harm.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Malfunction in SOUP can lead to irreversible patient harm.</w:t>
            </w:r>
          </w:p>
        </w:tc>
      </w:tr>
    </w:tbl>
    <w:bookmarkEnd w:id="20"/>
    <w:bookmarkStart w:id="24" w:name="soup-list"/>
    <w:p>
      <w:pPr>
        <w:pStyle w:val="Heading2"/>
      </w:pPr>
      <w:r>
        <w:t xml:space="preserve">2 SOUP List</w:t>
      </w:r>
    </w:p>
    <w:p>
      <w:pPr>
        <w:pStyle w:val="BlockText"/>
      </w:pPr>
      <w:r>
        <w:t xml:space="preserve">This is the actual SOUP list. For each third-party library you use, add an entry in the table below. The</w:t>
      </w:r>
      <w:r>
        <w:t xml:space="preserve"> </w:t>
      </w:r>
      <w:r>
        <w:t xml:space="preserve">idea is to only have one</w:t>
      </w:r>
      <w:r>
        <w:t xml:space="preserve"> </w:t>
      </w:r>
      <w:r>
        <w:t xml:space="preserve">“</w:t>
      </w:r>
      <w:r>
        <w:t xml:space="preserve">global</w:t>
      </w:r>
      <w:r>
        <w:t xml:space="preserve">”</w:t>
      </w:r>
      <w:r>
        <w:t xml:space="preserve"> </w:t>
      </w:r>
      <w:r>
        <w:t xml:space="preserve">SOUP list for your medical device even though the code may actually live</w:t>
      </w:r>
      <w:r>
        <w:t xml:space="preserve"> </w:t>
      </w:r>
      <w:r>
        <w:t xml:space="preserve">in multiple repositories. That’s what the</w:t>
      </w:r>
      <w:r>
        <w:t xml:space="preserve"> </w:t>
      </w:r>
      <w:r>
        <w:t xml:space="preserve">“</w:t>
      </w:r>
      <w:r>
        <w:t xml:space="preserve">software system</w:t>
      </w:r>
      <w:r>
        <w:t xml:space="preserve">”</w:t>
      </w:r>
      <w:r>
        <w:t xml:space="preserve"> </w:t>
      </w:r>
      <w:r>
        <w:t xml:space="preserve">column is for; you could also mention your (git)</w:t>
      </w:r>
      <w:r>
        <w:t xml:space="preserve"> </w:t>
      </w:r>
      <w:r>
        <w:t xml:space="preserve">repository there.</w:t>
      </w:r>
    </w:p>
    <w:p>
      <w:pPr>
        <w:pStyle w:val="BlockText"/>
      </w:pPr>
      <w:r>
        <w:t xml:space="preserve">When specifying requirements, the 62304 requires you to mention functional, performance, hard- and software</w:t>
      </w:r>
      <w:r>
        <w:t xml:space="preserve"> </w:t>
      </w:r>
      <w:r>
        <w:t xml:space="preserve">requirements. However, you may not have to re-state certain requirements if they apply to all SOUP,</w:t>
      </w:r>
      <w:r>
        <w:t xml:space="preserve"> </w:t>
      </w:r>
      <w:r>
        <w:t xml:space="preserve">e.g.,</w:t>
      </w:r>
      <w:r>
        <w:t xml:space="preserve"> </w:t>
      </w:r>
      <w:r>
        <w:t xml:space="preserve">“</w:t>
      </w:r>
      <w:r>
        <w:t xml:space="preserve">runs on Linux</w:t>
      </w:r>
      <w:r>
        <w:t xml:space="preserve">”</w:t>
      </w:r>
      <w:r>
        <w:t xml:space="preserve">. So prefer to keep the requirements simple, in a way in which you would communicate them</w:t>
      </w:r>
      <w:r>
        <w:t xml:space="preserve"> </w:t>
      </w:r>
      <w:r>
        <w:t xml:space="preserve">to colleagues on your development team when answering the question</w:t>
      </w:r>
      <w:r>
        <w:t xml:space="preserve"> </w:t>
      </w:r>
      <w:r>
        <w:t xml:space="preserve">“</w:t>
      </w:r>
      <w:r>
        <w:t xml:space="preserve">why did we import this library?</w:t>
      </w:r>
      <w:r>
        <w:t xml:space="preserve">”</w:t>
      </w:r>
      <w:r>
        <w:t xml:space="preserve">.</w:t>
      </w:r>
    </w:p>
    <w:p>
      <w:pPr>
        <w:pStyle w:val="BlockText"/>
      </w:pPr>
      <w:r>
        <w:t xml:space="preserve">As with all templates: It’s more about the content (i.e., the columns you see below) than the tool (filling</w:t>
      </w:r>
      <w:r>
        <w:t xml:space="preserve"> </w:t>
      </w:r>
      <w:r>
        <w:t xml:space="preserve">this out in Google sheets / markdown / wherever). Nobody says that you have to maintain this as a Google</w:t>
      </w:r>
      <w:r>
        <w:t xml:space="preserve"> </w:t>
      </w:r>
      <w:r>
        <w:t xml:space="preserve">sheet. If you can find a way to integrate this in your workflow in a better way, e.g., in a markdown file in</w:t>
      </w:r>
      <w:r>
        <w:t xml:space="preserve"> </w:t>
      </w:r>
      <w:r>
        <w:t xml:space="preserve">your git repository, go for it! Just keep in mind that you need to be able to export it to send it to</w:t>
      </w:r>
      <w:r>
        <w:t xml:space="preserve"> </w:t>
      </w:r>
      <w:r>
        <w:t xml:space="preserve">auditors.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27"/>
        <w:gridCol w:w="540"/>
        <w:gridCol w:w="445"/>
        <w:gridCol w:w="699"/>
        <w:gridCol w:w="286"/>
        <w:gridCol w:w="1590"/>
        <w:gridCol w:w="572"/>
        <w:gridCol w:w="381"/>
        <w:gridCol w:w="890"/>
        <w:gridCol w:w="238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Package 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Programming Language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Website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verified 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Level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Verification Reasoning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Mobile App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react-native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JavaScript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0.61</w:t>
            </w:r>
          </w:p>
        </w:tc>
        <w:tc>
          <w:tcPr/>
          <w:p>
            <w:pPr>
              <w:pStyle w:val="Compact"/>
              <w:jc w:val="left"/>
            </w:pPr>
            <w:hyperlink r:id="rId21">
              <w:r>
                <w:rPr>
                  <w:rStyle w:val="Hyperlink"/>
                </w:rPr>
                <w:t xml:space="preserve">Link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23.10.2020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* Runs JS on Android / iOS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Commonly used, maintained by a large organisation, sufficient test coverage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facebook.github.io/react-native/" TargetMode="External" /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facebook.github.io/react-native/" TargetMode="External" /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2024-04-25T13:02:06Z</dcterms:created>
  <dcterms:modified xsi:type="dcterms:W3CDTF">2024-04-25T13:02:06Z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